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2B" w:rsidRDefault="008C6F2B" w:rsidP="008C6F2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C6F2B" w:rsidRDefault="008C6F2B" w:rsidP="008C6F2B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8C6F2B" w:rsidRDefault="008C6F2B" w:rsidP="008C6F2B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ШАТАЛОВСКОГО СЕЛЬСКОГО ПОСЕЛЕНИЯ</w:t>
      </w:r>
    </w:p>
    <w:p w:rsidR="008C6F2B" w:rsidRDefault="008C6F2B" w:rsidP="008C6F2B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ПОЧИНКОВСКОГО  РАЙОНА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СМОЛЕНСКОЙ ОБЛАСТИ</w:t>
      </w:r>
    </w:p>
    <w:p w:rsidR="008C6F2B" w:rsidRDefault="008C6F2B" w:rsidP="008C6F2B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C6F2B" w:rsidRDefault="008C6F2B" w:rsidP="008C6F2B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8C6F2B" w:rsidRDefault="008C6F2B" w:rsidP="008C6F2B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8C6F2B" w:rsidRDefault="008C6F2B" w:rsidP="008C6F2B">
      <w:pPr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14008">
        <w:rPr>
          <w:rFonts w:ascii="Times New Roman" w:hAnsi="Times New Roman" w:cs="Times New Roman"/>
          <w:bCs/>
          <w:sz w:val="28"/>
          <w:szCs w:val="28"/>
        </w:rPr>
        <w:t>09</w:t>
      </w:r>
      <w:r w:rsidR="00A83F92">
        <w:rPr>
          <w:rFonts w:ascii="Times New Roman" w:hAnsi="Times New Roman" w:cs="Times New Roman"/>
          <w:bCs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14008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№ </w:t>
      </w:r>
      <w:r w:rsidR="00014008">
        <w:rPr>
          <w:rFonts w:ascii="Times New Roman" w:hAnsi="Times New Roman" w:cs="Times New Roman"/>
          <w:bCs/>
          <w:sz w:val="28"/>
          <w:szCs w:val="28"/>
        </w:rPr>
        <w:t>07</w:t>
      </w:r>
    </w:p>
    <w:p w:rsidR="008C6F2B" w:rsidRDefault="008C6F2B" w:rsidP="008C6F2B">
      <w:pPr>
        <w:widowControl/>
        <w:jc w:val="right"/>
        <w:rPr>
          <w:rFonts w:ascii="Times New Roman" w:hAnsi="Times New Roman" w:cs="Times New Roman"/>
          <w:b/>
          <w:bCs/>
          <w:color w:val="000080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77"/>
        <w:gridCol w:w="5378"/>
      </w:tblGrid>
      <w:tr w:rsidR="008C6F2B" w:rsidTr="008C6F2B">
        <w:tc>
          <w:tcPr>
            <w:tcW w:w="4248" w:type="dxa"/>
            <w:hideMark/>
          </w:tcPr>
          <w:p w:rsidR="008C6F2B" w:rsidRDefault="008C6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мерах по реализации решения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Шаталовского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поселения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Починковского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Смоленской области от </w:t>
            </w:r>
            <w:r w:rsidR="00EC52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.12.201</w:t>
            </w:r>
            <w:r w:rsidR="00EC52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EC52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A83F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«О бюджете муниципального образования</w:t>
            </w:r>
          </w:p>
          <w:p w:rsidR="008C6F2B" w:rsidRDefault="008C6F2B" w:rsidP="000140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Шаталовского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Починковского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Смоленской области на 20</w:t>
            </w:r>
            <w:r w:rsidR="000140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и плановый период 20</w:t>
            </w:r>
            <w:r w:rsidR="00A83F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140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A83F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20</w:t>
            </w:r>
            <w:r w:rsidR="00B76F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140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годов»</w:t>
            </w:r>
          </w:p>
        </w:tc>
        <w:tc>
          <w:tcPr>
            <w:tcW w:w="6173" w:type="dxa"/>
          </w:tcPr>
          <w:p w:rsidR="008C6F2B" w:rsidRDefault="008C6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C6F2B" w:rsidRDefault="008C6F2B" w:rsidP="008C6F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F2B" w:rsidRDefault="008C6F2B" w:rsidP="008C6F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реализации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 w:rsidR="00EC52D6">
        <w:rPr>
          <w:rFonts w:ascii="Times New Roman" w:hAnsi="Times New Roman" w:cs="Times New Roman"/>
          <w:sz w:val="28"/>
          <w:szCs w:val="28"/>
        </w:rPr>
        <w:t>04</w:t>
      </w:r>
      <w:r w:rsidR="00B76F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12.201</w:t>
      </w:r>
      <w:r w:rsidR="00EC52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C52D6">
        <w:rPr>
          <w:rFonts w:ascii="Times New Roman" w:hAnsi="Times New Roman" w:cs="Times New Roman"/>
          <w:sz w:val="28"/>
          <w:szCs w:val="28"/>
        </w:rPr>
        <w:t>5</w:t>
      </w:r>
      <w:r w:rsidR="00A83F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</w:t>
      </w:r>
      <w:r w:rsidR="00EC52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B0A48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83F92">
        <w:rPr>
          <w:rFonts w:ascii="Times New Roman" w:hAnsi="Times New Roman" w:cs="Times New Roman"/>
          <w:sz w:val="28"/>
          <w:szCs w:val="28"/>
        </w:rPr>
        <w:t>2</w:t>
      </w:r>
      <w:r w:rsidR="00EC52D6">
        <w:rPr>
          <w:rFonts w:ascii="Times New Roman" w:hAnsi="Times New Roman" w:cs="Times New Roman"/>
          <w:sz w:val="28"/>
          <w:szCs w:val="28"/>
        </w:rPr>
        <w:t>1</w:t>
      </w:r>
      <w:r w:rsidR="009B0A48">
        <w:rPr>
          <w:rFonts w:ascii="Times New Roman" w:hAnsi="Times New Roman" w:cs="Times New Roman"/>
          <w:sz w:val="28"/>
          <w:szCs w:val="28"/>
        </w:rPr>
        <w:t xml:space="preserve"> и 20</w:t>
      </w:r>
      <w:r w:rsidR="00B76FC3">
        <w:rPr>
          <w:rFonts w:ascii="Times New Roman" w:hAnsi="Times New Roman" w:cs="Times New Roman"/>
          <w:sz w:val="28"/>
          <w:szCs w:val="28"/>
        </w:rPr>
        <w:t>2</w:t>
      </w:r>
      <w:r w:rsidR="00EC52D6">
        <w:rPr>
          <w:rFonts w:ascii="Times New Roman" w:hAnsi="Times New Roman" w:cs="Times New Roman"/>
          <w:sz w:val="28"/>
          <w:szCs w:val="28"/>
        </w:rPr>
        <w:t>2</w:t>
      </w:r>
      <w:r w:rsidR="009B0A48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F2B" w:rsidRDefault="008C6F2B" w:rsidP="008C6F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8C6F2B" w:rsidRDefault="008C6F2B" w:rsidP="008C6F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 Принять к исполнению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</w:t>
      </w:r>
      <w:r w:rsidR="00EC52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C6F2B" w:rsidRDefault="008C6F2B" w:rsidP="008C6F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 Установить, что:</w:t>
      </w:r>
    </w:p>
    <w:p w:rsidR="008C6F2B" w:rsidRDefault="008C6F2B" w:rsidP="008C6F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Получатели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при заключении муниципальных контрактов (договоров) на поставку товаров, выполнение работ, оказание услуг для муниципальных нужд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Смоленской   области (далее – муниципальные контракты (договоры) вправе предусматривать авансовые платежи:</w:t>
      </w:r>
    </w:p>
    <w:p w:rsidR="008C6F2B" w:rsidRDefault="008C6F2B" w:rsidP="008C6F2B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размере до 100 процентов суммы муниципального контракта (договора), но не более принятых бюджетных обязательств по данному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муниципальному контракту (договору) на соответствующий финансовый год, – по муниципальным контрактам (договорам) на услуги почтовой связи; на подписку на печатные издания и на их приобретение; на обучение на курсах повышения квалификации, участие в научных, методических, научно-практических и иных конференциях; на проведение государственной экологической экспертизы; на проведение государственной экспертизы проектной документации и результатов инженерных изысканий; на приобретение авиа- и железнодорожных билетов, билетов для проезда городским и пригородным транспортом; на проживание в жилых помещениях (бронирование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жилого помещения) при служебных командировках;  по муниципальным контрактам (договорам) обязательного имущественного, личного страхования, страхования гражданской ответственности; по муниципальным контрактам (договорам) на проведение культурно-массовых, спортивных, оздоровительных, социальных и иных мероприятий, на организацию и проведение выставок, конкурсов, фестивалей, заключенным между заказчиком мероприятия (получателем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области) и исполнителем, являющимся общественной либо иной организацией, не находящейся в ведении заказчика, в рамках которых исполнитель берет на себя организацию и проведение мероприятия, выставки, конкурса, фестиваля и осуществление всех расходов, связанных с их реализацией;</w:t>
      </w:r>
    </w:p>
    <w:p w:rsidR="008C6F2B" w:rsidRDefault="008C6F2B" w:rsidP="008C6F2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 до 100 процентов стоимости товаров, услуг путем получения денежных средств в подотчет для проведения расчетов наличными денежными средствами:</w:t>
      </w:r>
    </w:p>
    <w:p w:rsidR="008C6F2B" w:rsidRDefault="008C6F2B" w:rsidP="008C6F2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для организации и проведения культурно-массовых, спортивных, оздоровительных, социальных мероприятий, на организацию и проведение выставок, конкурсов, фестивалей в рамках собственной деятельности при наличии утвержденных должным образом смет расходов и расчетов потребности в денежных средствах; </w:t>
      </w:r>
    </w:p>
    <w:p w:rsidR="008C6F2B" w:rsidRDefault="008C6F2B" w:rsidP="008C6F2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оплату услуг мобильной связи из-за отсутствия офиса оператора связи; </w:t>
      </w:r>
    </w:p>
    <w:p w:rsidR="008C6F2B" w:rsidRDefault="008C6F2B" w:rsidP="008C6F2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оплату мелких текущих расходов при приобретении товаров, работ и услуг в случае, не носящих регулярный характер, и при невозможности приобретения в данный период этих работ, товаров, услуг безналичным путем при наличии обоснованного расчета потребности в наличных денежных средствах.</w:t>
      </w:r>
    </w:p>
    <w:p w:rsidR="008C6F2B" w:rsidRDefault="008C6F2B" w:rsidP="008C6F2B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размере до 30 процентов суммы муниципального контракта (договора), но не более 30 процентов принятых бюджетных обязательств по данному муниципальному контракту (договору) на соответствующий финансовый год - по муниципальным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по муниципальным контрактам (договорам) на выполнение проектных и изыскательских работ; по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 контрактам (договорам) на выполнение строительно-монтажных и ремонтных работ; по муниципальным контрактам (договорам) на поставку горюче-смазочных материалов.</w:t>
      </w:r>
      <w:r w:rsidR="00621CAF">
        <w:rPr>
          <w:rFonts w:ascii="Times New Roman" w:hAnsi="Times New Roman" w:cs="Times New Roman"/>
          <w:sz w:val="28"/>
          <w:szCs w:val="28"/>
        </w:rPr>
        <w:t>;</w:t>
      </w:r>
    </w:p>
    <w:p w:rsidR="00621CAF" w:rsidRDefault="00621CAF" w:rsidP="00621C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 муниципальным контрактам (договорам) на выполнение работ по осуществлению технологического присоединения к сетям электроснабжения.</w:t>
      </w:r>
    </w:p>
    <w:p w:rsidR="008C6F2B" w:rsidRDefault="008C6F2B" w:rsidP="008C6F2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Получатели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осуществляют оплату тепловой энергии и природного газа за фактически потребленное количество в пределах утвержденных лимитов потребления топливно-энергетических ресурсов. </w:t>
      </w:r>
    </w:p>
    <w:p w:rsidR="008C6F2B" w:rsidRDefault="00D5201D" w:rsidP="00D5201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F2B">
        <w:rPr>
          <w:rFonts w:ascii="Times New Roman" w:hAnsi="Times New Roman" w:cs="Times New Roman"/>
          <w:sz w:val="28"/>
          <w:szCs w:val="28"/>
        </w:rPr>
        <w:t xml:space="preserve">2.3.   Муниципальные   бюджетные (автономные) </w:t>
      </w:r>
      <w:proofErr w:type="gramStart"/>
      <w:r w:rsidR="008C6F2B">
        <w:rPr>
          <w:rFonts w:ascii="Times New Roman" w:hAnsi="Times New Roman" w:cs="Times New Roman"/>
          <w:sz w:val="28"/>
          <w:szCs w:val="28"/>
        </w:rPr>
        <w:t>учреждения  при</w:t>
      </w:r>
      <w:proofErr w:type="gramEnd"/>
      <w:r w:rsidR="008C6F2B">
        <w:rPr>
          <w:rFonts w:ascii="Times New Roman" w:hAnsi="Times New Roman" w:cs="Times New Roman"/>
          <w:sz w:val="28"/>
          <w:szCs w:val="28"/>
        </w:rPr>
        <w:t xml:space="preserve"> заключении гражданско-правовых договоров на поставки товаров, выполнение работ,  оказание услуг для нужд муниципальных бюджетных учреждений, договоров (далее – (договоры) вправе предусматривать авансовые платежи:</w:t>
      </w:r>
    </w:p>
    <w:p w:rsidR="008C6F2B" w:rsidRDefault="008C6F2B" w:rsidP="008C6F2B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размере до 100 процентов суммы договора  – по договорам на услуги почтовой связи; на подписку на печатные издания и на их приобретение; на обучение на курсах повышения квалификации, участие в научных, методических, научно-практических и иных конференциях; на проведение государственной экологической экспертизы; на проведение государственной экспертизы проектной документации и результатов инженерных изысканий; на приобретение авиа- и железнодорожных билетов, билетов для проезда городским и пригородным транспортом; на проживание в жилых помещениях (бронирование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жилого помещения) при служебных командировках; по договорам обязательного имущественного, личного страхования, страхования гражданской ответственности; по договорам на проведение культурно-массовых, спортивных, оздоровительных, социальных и иных мероприятий, на организацию и проведение выставок, конкурсов, фестивалей, заключенным между заказчиком мероприятия (муниципальным бюджетным (автономным) учреждением) и исполнителем, являющимся общественной либо иной организацией, не находящейся в ведении заказчика, в рамках которых исполнитель берет на себя организацию и проведение мероприятия, выставки, конкурса, фестиваля и осуществление всех расходов, связанных с их реализацией;</w:t>
      </w:r>
    </w:p>
    <w:p w:rsidR="008C6F2B" w:rsidRDefault="008C6F2B" w:rsidP="008C6F2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 до 100 процентов стоимости товаров, услуг путем получения денежных средств в подотчет для проведения расчетов наличными денежными средствами:</w:t>
      </w:r>
    </w:p>
    <w:p w:rsidR="008C6F2B" w:rsidRDefault="008C6F2B" w:rsidP="008C6F2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для организации и проведения культурно-массовых, спортивных, оздоровительных, социальных мероприятий, на организацию и проведение выставок, конкурсов, фестивалей в рамках собственной деятельности при наличии утвержденных должным образом смет расходов и расчетов потребности в денежных средствах;  </w:t>
      </w:r>
    </w:p>
    <w:p w:rsidR="008C6F2B" w:rsidRDefault="008C6F2B" w:rsidP="008C6F2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оплату услуг мобильной связи из-за отсутствия офиса оператора связи; </w:t>
      </w:r>
    </w:p>
    <w:p w:rsidR="008C6F2B" w:rsidRDefault="008C6F2B" w:rsidP="008C6F2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на оплату мелких текущих расходов при приобретении товаров, работ и услуг в случаях, не носящих регулярный характер, и при невозможности приобретения в данный период этих работ, товаров, услуг безналичным путем при наличии обоснованного расчета потребности в наличных денежных средствах.   </w:t>
      </w:r>
    </w:p>
    <w:p w:rsidR="008C6F2B" w:rsidRDefault="008C6F2B" w:rsidP="008C6F2B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размере до 30 процентов суммы договора - по договорам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по договорам на выполнение проектных и изыскательских работ; по договорам на выполнение строительно-монтажных и ремонтных работ; по догово</w:t>
      </w:r>
      <w:r w:rsidR="00621CAF">
        <w:rPr>
          <w:rFonts w:ascii="Times New Roman" w:hAnsi="Times New Roman" w:cs="Times New Roman"/>
          <w:sz w:val="28"/>
          <w:szCs w:val="28"/>
        </w:rPr>
        <w:t>рам горюче-смазочных материалов;</w:t>
      </w:r>
    </w:p>
    <w:p w:rsidR="00621CAF" w:rsidRDefault="00621CAF" w:rsidP="008C6F2B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муниципальным контрактам (договорам) на выполнение работ по осуществлению технологического присоединения к сетям электроснабжению.</w:t>
      </w:r>
    </w:p>
    <w:p w:rsidR="008C6F2B" w:rsidRDefault="009D4079" w:rsidP="008C6F2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F2B" w:rsidRDefault="008C6F2B" w:rsidP="008C6F2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1CAF" w:rsidRDefault="00621CAF" w:rsidP="00621C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1CAF" w:rsidRDefault="00621CAF" w:rsidP="00621C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CAF" w:rsidRDefault="00621CAF" w:rsidP="008C6F2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6F2B" w:rsidRDefault="008C6F2B" w:rsidP="008C6F2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6F2B" w:rsidRDefault="008C6F2B" w:rsidP="008C6F2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8C6F2B" w:rsidRDefault="008C6F2B" w:rsidP="008C6F2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6F2B" w:rsidRDefault="008C6F2B" w:rsidP="008C6F2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C6F2B" w:rsidRDefault="008C6F2B" w:rsidP="008C6F2B"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Е.А.Зыкова</w:t>
      </w:r>
      <w:proofErr w:type="spellEnd"/>
    </w:p>
    <w:p w:rsidR="008C6F2B" w:rsidRDefault="008C6F2B" w:rsidP="008C6F2B"/>
    <w:p w:rsidR="006E2631" w:rsidRDefault="006E2631"/>
    <w:sectPr w:rsidR="006E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80"/>
    <w:rsid w:val="00014008"/>
    <w:rsid w:val="00621CAF"/>
    <w:rsid w:val="006E2631"/>
    <w:rsid w:val="007E0480"/>
    <w:rsid w:val="008C6F2B"/>
    <w:rsid w:val="009816A2"/>
    <w:rsid w:val="009B0A48"/>
    <w:rsid w:val="009D4079"/>
    <w:rsid w:val="009F389F"/>
    <w:rsid w:val="00A83F92"/>
    <w:rsid w:val="00B76FC3"/>
    <w:rsid w:val="00D02692"/>
    <w:rsid w:val="00D5201D"/>
    <w:rsid w:val="00E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9B72"/>
  <w15:chartTrackingRefBased/>
  <w15:docId w15:val="{D7F6BA8F-2AFB-412E-83EA-3AA22EEE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C6F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8C6F2B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6F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F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18</cp:revision>
  <cp:lastPrinted>2020-01-22T12:26:00Z</cp:lastPrinted>
  <dcterms:created xsi:type="dcterms:W3CDTF">2017-01-12T06:48:00Z</dcterms:created>
  <dcterms:modified xsi:type="dcterms:W3CDTF">2020-01-22T12:27:00Z</dcterms:modified>
</cp:coreProperties>
</file>