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20.04.202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21 апреля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color w:val="auto"/>
        </w:rPr>
      </w:pPr>
      <w:r>
        <w:rPr>
          <w:rFonts w:cs="Times New Roman"/>
          <w:color w:val="auto"/>
          <w:spacing w:val="2"/>
          <w:sz w:val="24"/>
          <w:szCs w:val="24"/>
        </w:rPr>
        <w:t>Облачно с прояснениями</w:t>
      </w:r>
      <w:r>
        <w:rPr>
          <w:color w:val="auto"/>
          <w:spacing w:val="2"/>
          <w:sz w:val="24"/>
          <w:szCs w:val="24"/>
        </w:rPr>
        <w:t>. Утром местами небольшие осадки, преимущественно в виде дождя, днём дождя</w:t>
      </w:r>
      <w:r>
        <w:rPr>
          <w:rFonts w:eastAsia="Arial" w:cs="Times New Roman"/>
          <w:color w:val="auto"/>
          <w:spacing w:val="2"/>
          <w:sz w:val="24"/>
          <w:szCs w:val="24"/>
        </w:rPr>
        <w:t>.</w:t>
      </w:r>
      <w:r>
        <w:rPr>
          <w:rFonts w:eastAsia="Arial"/>
          <w:color w:val="auto"/>
          <w:spacing w:val="2"/>
          <w:sz w:val="24"/>
          <w:szCs w:val="24"/>
        </w:rPr>
        <w:t xml:space="preserve"> </w:t>
      </w:r>
      <w:r>
        <w:rPr>
          <w:rFonts w:cs="Arial"/>
          <w:color w:val="auto"/>
          <w:spacing w:val="2"/>
          <w:sz w:val="24"/>
          <w:szCs w:val="24"/>
        </w:rPr>
        <w:t xml:space="preserve">Ветер </w:t>
      </w:r>
      <w:r>
        <w:rPr>
          <w:rFonts w:cs="Arial"/>
          <w:color w:val="auto"/>
          <w:spacing w:val="2"/>
          <w:sz w:val="24"/>
          <w:szCs w:val="24"/>
        </w:rPr>
        <w:t>с</w:t>
      </w:r>
      <w:r>
        <w:rPr>
          <w:rFonts w:cs="Arial"/>
          <w:color w:val="auto"/>
          <w:spacing w:val="2"/>
          <w:sz w:val="24"/>
          <w:szCs w:val="24"/>
        </w:rPr>
        <w:t>еверный, северо-восточный 6-11 м/с, днем порывы 12-17 м/с</w:t>
      </w:r>
      <w:r>
        <w:rPr>
          <w:rFonts w:cs="Times New Roman"/>
          <w:color w:val="auto"/>
          <w:spacing w:val="2"/>
          <w:sz w:val="24"/>
          <w:szCs w:val="24"/>
        </w:rPr>
        <w:t xml:space="preserve">. </w:t>
      </w:r>
      <w:bookmarkStart w:id="0" w:name="__DdeLink__4335_3762997684"/>
      <w:bookmarkStart w:id="1" w:name="__DdeLink__9492_1809771745"/>
      <w:bookmarkStart w:id="2" w:name="__DdeLink__417_479931278"/>
      <w:bookmarkStart w:id="3" w:name="__DdeLink__4726_1991701590"/>
      <w:bookmarkStart w:id="4" w:name="__DdeLink__2301_1057431535"/>
      <w:bookmarkStart w:id="5" w:name="__DdeLink__420_246716379"/>
      <w:bookmarkStart w:id="6" w:name="__DdeLink__1900_2602816240"/>
      <w:bookmarkStart w:id="7" w:name="__DdeLink__2633_1219950872"/>
      <w:bookmarkStart w:id="8" w:name="__DdeLink__4301_2108927392"/>
      <w:bookmarkStart w:id="9" w:name="__DdeLink__312_2481037630"/>
      <w:bookmarkStart w:id="10" w:name="__DdeLink__2989_3577993372"/>
      <w:bookmarkStart w:id="11" w:name="__DdeLink__8776_1238342660"/>
      <w:bookmarkStart w:id="12" w:name="__DdeLink__6971_1008733088"/>
      <w:bookmarkStart w:id="13" w:name="__DdeLink__492_4215499199"/>
      <w:bookmarkStart w:id="14" w:name="__DdeLink__15920_3643242805"/>
      <w:bookmarkStart w:id="15" w:name="__DdeLink__4058_295980833"/>
      <w:bookmarkStart w:id="16" w:name="__DdeLink__2596_3785924683"/>
      <w:bookmarkStart w:id="17" w:name="__DdeLink__640_680390011"/>
      <w:r>
        <w:rPr>
          <w:rFonts w:cs="Arial"/>
          <w:color w:val="auto"/>
          <w:spacing w:val="2"/>
          <w:sz w:val="24"/>
          <w:szCs w:val="24"/>
        </w:rPr>
        <w:t xml:space="preserve">Температура воздуха по области: ночью </w:t>
      </w:r>
      <w:r>
        <w:rPr>
          <w:rFonts w:cs="Arial"/>
          <w:color w:val="auto"/>
          <w:spacing w:val="2"/>
          <w:sz w:val="24"/>
          <w:szCs w:val="24"/>
        </w:rPr>
        <w:t>0</w:t>
      </w:r>
      <w:r>
        <w:rPr>
          <w:rFonts w:eastAsia="Arial"/>
          <w:color w:val="auto"/>
          <w:spacing w:val="2"/>
          <w:sz w:val="24"/>
          <w:szCs w:val="24"/>
        </w:rPr>
        <w:t>…+</w:t>
      </w:r>
      <w:r>
        <w:rPr>
          <w:rFonts w:eastAsia="Arial"/>
          <w:color w:val="auto"/>
          <w:spacing w:val="2"/>
          <w:sz w:val="24"/>
          <w:szCs w:val="24"/>
        </w:rPr>
        <w:t>5</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 xml:space="preserve">днём +9…+14°C. В </w:t>
      </w:r>
      <w:bookmarkStart w:id="18" w:name="_Hlk97810311"/>
      <w:r>
        <w:rPr>
          <w:rFonts w:cs="Arial"/>
          <w:color w:val="auto"/>
          <w:spacing w:val="2"/>
          <w:sz w:val="24"/>
          <w:szCs w:val="24"/>
        </w:rPr>
        <w:t xml:space="preserve">Смоленске: ночью </w:t>
      </w:r>
      <w:r>
        <w:rPr>
          <w:rFonts w:cs="Arial"/>
          <w:color w:val="auto"/>
          <w:spacing w:val="2"/>
          <w:sz w:val="24"/>
          <w:szCs w:val="24"/>
        </w:rPr>
        <w:t>+1</w:t>
      </w:r>
      <w:r>
        <w:rPr>
          <w:rFonts w:cs="Arial"/>
          <w:color w:val="auto"/>
          <w:spacing w:val="2"/>
          <w:sz w:val="24"/>
          <w:szCs w:val="24"/>
        </w:rPr>
        <w:t>…+</w:t>
      </w:r>
      <w:r>
        <w:rPr>
          <w:rFonts w:cs="Arial"/>
          <w:color w:val="auto"/>
          <w:spacing w:val="2"/>
          <w:sz w:val="24"/>
          <w:szCs w:val="24"/>
        </w:rPr>
        <w:t>3</w:t>
      </w:r>
      <w:r>
        <w:rPr>
          <w:rFonts w:cs="Arial"/>
          <w:color w:val="auto"/>
          <w:spacing w:val="2"/>
          <w:sz w:val="24"/>
          <w:szCs w:val="24"/>
        </w:rPr>
        <w:t>°C, днё</w:t>
      </w:r>
      <w:bookmarkEnd w:id="17"/>
      <w:bookmarkEnd w:id="18"/>
      <w:r>
        <w:rPr>
          <w:rFonts w:cs="Arial"/>
          <w:color w:val="auto"/>
          <w:spacing w:val="2"/>
          <w:sz w:val="24"/>
          <w:szCs w:val="24"/>
        </w:rPr>
        <w:t>м +</w:t>
      </w:r>
      <w:r>
        <w:rPr>
          <w:rFonts w:cs="Arial"/>
          <w:color w:val="auto"/>
          <w:spacing w:val="2"/>
          <w:sz w:val="24"/>
          <w:szCs w:val="24"/>
        </w:rPr>
        <w:t>9</w:t>
      </w:r>
      <w:r>
        <w:rPr>
          <w:rFonts w:cs="Arial"/>
          <w:color w:val="auto"/>
          <w:spacing w:val="2"/>
          <w:sz w:val="24"/>
          <w:szCs w:val="24"/>
        </w:rPr>
        <w:t>…+1</w:t>
      </w:r>
      <w:r>
        <w:rPr>
          <w:rFonts w:cs="Arial"/>
          <w:color w:val="auto"/>
          <w:spacing w:val="2"/>
          <w:sz w:val="24"/>
          <w:szCs w:val="24"/>
        </w:rPr>
        <w:t>1</w:t>
      </w:r>
      <w:r>
        <w:rPr>
          <w:rFonts w:cs="Arial"/>
          <w:color w:val="auto"/>
          <w:spacing w:val="2"/>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pacing w:val="2"/>
          <w:sz w:val="24"/>
          <w:szCs w:val="24"/>
        </w:rPr>
        <w:t xml:space="preserve"> </w:t>
      </w:r>
      <w:r>
        <w:rPr>
          <w:rFonts w:cs="Liberation Serif;Times New Roman" w:ascii="Liberation Serif;Times New Roman" w:hAnsi="Liberation Serif;Times New Roman"/>
          <w:color w:val="auto"/>
          <w:spacing w:val="2"/>
          <w:sz w:val="24"/>
          <w:szCs w:val="24"/>
        </w:rPr>
        <w:t>7</w:t>
      </w:r>
      <w:r>
        <w:rPr>
          <w:rFonts w:cs="Liberation Serif;Times New Roman" w:ascii="Liberation Serif;Times New Roman" w:hAnsi="Liberation Serif;Times New Roman"/>
          <w:color w:val="auto"/>
          <w:spacing w:val="2"/>
          <w:sz w:val="24"/>
          <w:szCs w:val="24"/>
        </w:rPr>
        <w:t>37</w:t>
      </w:r>
      <w:r>
        <w:rPr>
          <w:rFonts w:cs="Liberation Serif;Times New Roman" w:ascii="Liberation Serif;Times New Roman" w:hAnsi="Liberation Serif;Times New Roman"/>
          <w:color w:val="auto"/>
          <w:spacing w:val="2"/>
          <w:sz w:val="24"/>
          <w:szCs w:val="24"/>
        </w:rPr>
        <w:t xml:space="preserve"> мм рт. столба, будет </w:t>
      </w:r>
      <w:r>
        <w:rPr>
          <w:rFonts w:cs="Liberation Serif;Times New Roman" w:ascii="Liberation Serif;Times New Roman" w:hAnsi="Liberation Serif;Times New Roman"/>
          <w:color w:val="auto"/>
          <w:spacing w:val="2"/>
          <w:sz w:val="24"/>
          <w:szCs w:val="24"/>
        </w:rPr>
        <w:t>падать</w:t>
      </w:r>
      <w:r>
        <w:rPr>
          <w:rFonts w:cs="Arial"/>
          <w:color w:val="auto"/>
          <w:spacing w:val="2"/>
          <w:sz w:val="24"/>
          <w:szCs w:val="24"/>
        </w:rPr>
        <w:t>.</w:t>
      </w:r>
    </w:p>
    <w:p>
      <w:pPr>
        <w:pStyle w:val="Normal"/>
        <w:spacing w:before="113" w:after="0"/>
        <w:rPr>
          <w:color w:val="auto"/>
        </w:rPr>
      </w:pPr>
      <w:r>
        <w:rPr>
          <w:b/>
          <w:color w:val="auto"/>
          <w:sz w:val="24"/>
          <w:szCs w:val="24"/>
        </w:rPr>
        <w:t>1.2. Биолого-социальная обстановка.</w:t>
      </w:r>
    </w:p>
    <w:p>
      <w:pPr>
        <w:pStyle w:val="Style38"/>
        <w:spacing w:before="0" w:after="0"/>
        <w:rPr>
          <w:color w:val="auto"/>
        </w:rPr>
      </w:pPr>
      <w:r>
        <w:rPr>
          <w:color w:val="auto"/>
          <w:sz w:val="24"/>
          <w:szCs w:val="24"/>
        </w:rPr>
        <w:t>В Смоленской области зарегистрировано 151019 случаев заболевания COVID-19 (прирост за неделю – 40 случаев).</w:t>
      </w:r>
    </w:p>
    <w:p>
      <w:pPr>
        <w:pStyle w:val="Style38"/>
        <w:spacing w:before="0" w:after="0"/>
        <w:rPr>
          <w:color w:val="auto"/>
        </w:rPr>
      </w:pPr>
      <w:r>
        <w:rPr>
          <w:color w:val="auto"/>
          <w:sz w:val="24"/>
          <w:szCs w:val="24"/>
        </w:rPr>
        <w:t>Количество лиц, находящихся под медицинским наблюдением – 158, в том числе на амбулаторном лечении – 134, в условиях изоляции в специализированных медицинских учреждениях – 24.</w:t>
      </w:r>
    </w:p>
    <w:p>
      <w:pPr>
        <w:pStyle w:val="Style38"/>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01.04.24 по 07.04.24 проведено лабораторных исследований – 121514. Всего проведено лабораторных исследований на наличие новой коронавирусной инфекции – 2361938.</w:t>
      </w:r>
    </w:p>
    <w:p>
      <w:pPr>
        <w:pStyle w:val="Style38"/>
        <w:spacing w:before="0" w:after="57"/>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57" w:after="0"/>
        <w:rPr>
          <w:color w:val="auto"/>
        </w:rPr>
      </w:pPr>
      <w:r>
        <w:rPr>
          <w:color w:val="auto"/>
          <w:sz w:val="24"/>
          <w:szCs w:val="24"/>
        </w:rPr>
        <w:t>За период с начала текущего года по 09.04.2024 года в медицинские организации Смоленской области обратились 30 пострадавших от присасывания клещей, что на 11% меньше, чем за аналогичный период прошлого года. За последнюю неделю наблюдения — с 03.04.2024 г. по 09.04.2024 г. - число обращений по поводу присасывания клещей за медицинской помощью составило 22, в том числе 9 детей, в сравнении с предыдущей неделей количество пострадавших увеличилось на 68% среди всех обратившихся и на 66% увеличилось среди детей.</w:t>
      </w:r>
    </w:p>
    <w:p>
      <w:pPr>
        <w:pStyle w:val="Style38"/>
        <w:spacing w:before="0" w:after="0"/>
        <w:rPr>
          <w:color w:val="auto"/>
        </w:rPr>
      </w:pPr>
      <w:r>
        <w:rPr>
          <w:color w:val="auto"/>
          <w:sz w:val="24"/>
          <w:szCs w:val="24"/>
        </w:rPr>
        <w:t>В лаборатории ФБУЗ «Центр гигиены и эпидемиологии в Смоленской области» с начала текущего года исследовано 73 клеща, в том числе 8 снятых с людей, из общего количества иследований клещей в 1 случае обнаружен возбудитель гранулоцитарного анаплазмоза человека.</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0,10 - 0,1</w:t>
      </w:r>
      <w:r>
        <w:rPr>
          <w:rFonts w:cs="Liberation Serif;Times New Roman" w:ascii="Liberation Serif;Times New Roman" w:hAnsi="Liberation Serif;Times New Roman"/>
          <w:color w:val="auto"/>
          <w:sz w:val="24"/>
          <w:szCs w:val="24"/>
        </w:rPr>
        <w:t>5</w:t>
      </w:r>
      <w:r>
        <w:rPr>
          <w:rFonts w:cs="Liberation Serif;Times New Roman" w:ascii="Liberation Serif;Times New Roman" w:hAnsi="Liberation Serif;Times New Roman"/>
          <w:color w:val="auto"/>
          <w:sz w:val="24"/>
          <w:szCs w:val="24"/>
        </w:rPr>
        <w:t xml:space="preserve"> (в Смоленске 0,10)</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+8°C.</w:t>
      </w:r>
    </w:p>
    <w:p>
      <w:pPr>
        <w:pStyle w:val="Normal"/>
        <w:tabs>
          <w:tab w:val="clear" w:pos="8520"/>
          <w:tab w:val="center" w:pos="142" w:leader="none"/>
        </w:tabs>
        <w:spacing w:before="57" w:after="0"/>
        <w:ind w:hanging="0"/>
        <w:jc w:val="center"/>
        <w:rPr/>
      </w:pPr>
      <w:r>
        <w:rPr>
          <w:rFonts w:ascii="Liberation Serif" w:hAnsi="Liberation Serif"/>
          <w:b/>
          <w:color w:val="auto"/>
          <w:sz w:val="24"/>
          <w:szCs w:val="24"/>
        </w:rPr>
        <w:t>Данные по уровням воды на реках</w:t>
      </w:r>
      <w:r>
        <w:rPr>
          <w:rFonts w:ascii="Liberation Serif" w:hAnsi="Liberation Serif"/>
          <w:b/>
          <w:sz w:val="24"/>
          <w:szCs w:val="24"/>
        </w:rPr>
        <w:t xml:space="preserve"> и ГТС Смоленской области по состоянию на 20.04.2024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277"/>
        <w:gridCol w:w="1061"/>
        <w:gridCol w:w="1178"/>
        <w:gridCol w:w="1254"/>
        <w:gridCol w:w="1355"/>
        <w:gridCol w:w="1774"/>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23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6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774"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5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5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774"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lang w:bidi="en-US"/>
              </w:rPr>
            </w:pPr>
            <w:r>
              <w:rPr>
                <w:rFonts w:ascii="Liberation Serif" w:hAnsi="Liberation Serif"/>
                <w:b/>
                <w:lang w:bidi="en-US"/>
              </w:rPr>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Болшево</w:t>
            </w:r>
          </w:p>
          <w:p>
            <w:pPr>
              <w:pStyle w:val="Normal"/>
              <w:widowControl w:val="false"/>
              <w:ind w:hanging="0"/>
              <w:jc w:val="center"/>
              <w:rPr>
                <w:sz w:val="20"/>
                <w:szCs w:val="20"/>
              </w:rPr>
            </w:pPr>
            <w:r>
              <w:rPr>
                <w:rFonts w:ascii="Liberation Serif" w:hAnsi="Liberation Serif"/>
                <w:sz w:val="20"/>
                <w:szCs w:val="20"/>
              </w:rPr>
              <w:t>(Новодугинский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400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248</w:t>
            </w:r>
          </w:p>
        </w:tc>
        <w:tc>
          <w:tcPr>
            <w:tcW w:w="135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+106</w:t>
            </w:r>
          </w:p>
        </w:tc>
        <w:tc>
          <w:tcPr>
            <w:tcW w:w="1774"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rFonts w:ascii="Liberation Serif" w:hAnsi="Liberation Serif"/>
                <w:b/>
                <w:sz w:val="24"/>
              </w:rPr>
            </w:pPr>
            <w:r>
              <w:rPr>
                <w:rFonts w:ascii="Liberation Serif" w:hAnsi="Liberation Serif"/>
                <w:b/>
                <w:sz w:val="24"/>
              </w:rPr>
              <w:t>112</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Дорогобуж</w:t>
            </w:r>
          </w:p>
          <w:p>
            <w:pPr>
              <w:pStyle w:val="Normal"/>
              <w:widowControl w:val="false"/>
              <w:ind w:hanging="0"/>
              <w:jc w:val="center"/>
              <w:textAlignment w:val="center"/>
              <w:rPr>
                <w:sz w:val="20"/>
                <w:szCs w:val="20"/>
              </w:rPr>
            </w:pPr>
            <w:r>
              <w:rPr>
                <w:rFonts w:ascii="Liberation Serif" w:hAnsi="Liberation Serif"/>
                <w:color w:val="000000"/>
                <w:sz w:val="20"/>
                <w:szCs w:val="20"/>
              </w:rPr>
              <w:t>(Дорогобужский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349</w:t>
            </w:r>
          </w:p>
        </w:tc>
        <w:tc>
          <w:tcPr>
            <w:tcW w:w="135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-15</w:t>
            </w:r>
          </w:p>
        </w:tc>
        <w:tc>
          <w:tcPr>
            <w:tcW w:w="1774"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rFonts w:ascii="Liberation Serif" w:hAnsi="Liberation Serif"/>
                <w:b/>
                <w:sz w:val="24"/>
              </w:rPr>
            </w:pPr>
            <w:r>
              <w:rPr>
                <w:rFonts w:ascii="Liberation Serif" w:hAnsi="Liberation Serif"/>
                <w:b/>
                <w:sz w:val="24"/>
              </w:rPr>
              <w:t>236</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Соловьево</w:t>
            </w:r>
          </w:p>
          <w:p>
            <w:pPr>
              <w:pStyle w:val="Normal"/>
              <w:widowControl w:val="false"/>
              <w:ind w:hanging="0"/>
              <w:jc w:val="center"/>
              <w:textAlignment w:val="center"/>
              <w:rPr>
                <w:sz w:val="20"/>
                <w:szCs w:val="20"/>
              </w:rPr>
            </w:pPr>
            <w:r>
              <w:rPr>
                <w:rFonts w:ascii="Liberation Serif" w:hAnsi="Liberation Serif"/>
                <w:color w:val="000000"/>
                <w:sz w:val="20"/>
                <w:szCs w:val="20"/>
              </w:rPr>
              <w:t>(Кардымовский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845</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486</w:t>
            </w:r>
          </w:p>
        </w:tc>
        <w:tc>
          <w:tcPr>
            <w:tcW w:w="135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-21</w:t>
            </w:r>
          </w:p>
        </w:tc>
        <w:tc>
          <w:tcPr>
            <w:tcW w:w="1774"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rFonts w:ascii="Liberation Serif" w:hAnsi="Liberation Serif"/>
                <w:b/>
                <w:sz w:val="24"/>
              </w:rPr>
            </w:pPr>
            <w:r>
              <w:rPr>
                <w:rFonts w:ascii="Liberation Serif" w:hAnsi="Liberation Serif"/>
                <w:b/>
                <w:sz w:val="24"/>
              </w:rPr>
              <w:t>275</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Смоленск</w:t>
            </w:r>
          </w:p>
          <w:p>
            <w:pPr>
              <w:pStyle w:val="Normal"/>
              <w:widowControl w:val="false"/>
              <w:ind w:hanging="0"/>
              <w:jc w:val="center"/>
              <w:textAlignment w:val="center"/>
              <w:rPr>
                <w:sz w:val="20"/>
                <w:szCs w:val="20"/>
              </w:rPr>
            </w:pPr>
            <w:r>
              <w:rPr>
                <w:rFonts w:ascii="Liberation Serif" w:hAnsi="Liberation Serif"/>
                <w:color w:val="000000"/>
                <w:sz w:val="20"/>
                <w:szCs w:val="20"/>
              </w:rPr>
              <w:t>(г. Смоленск)</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555</w:t>
            </w:r>
          </w:p>
        </w:tc>
        <w:tc>
          <w:tcPr>
            <w:tcW w:w="135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-12</w:t>
            </w:r>
          </w:p>
        </w:tc>
        <w:tc>
          <w:tcPr>
            <w:tcW w:w="1774"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rFonts w:ascii="Liberation Serif" w:hAnsi="Liberation Serif"/>
                <w:b/>
                <w:sz w:val="24"/>
              </w:rPr>
            </w:pPr>
            <w:r>
              <w:rPr>
                <w:rFonts w:ascii="Liberation Serif" w:hAnsi="Liberation Serif"/>
                <w:b/>
                <w:sz w:val="24"/>
              </w:rPr>
              <w:t>75</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Вязьма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Старая деревня</w:t>
            </w:r>
          </w:p>
          <w:p>
            <w:pPr>
              <w:pStyle w:val="Normal"/>
              <w:widowControl w:val="false"/>
              <w:ind w:hanging="0"/>
              <w:jc w:val="center"/>
              <w:textAlignment w:val="center"/>
              <w:rPr>
                <w:sz w:val="20"/>
                <w:szCs w:val="20"/>
              </w:rPr>
            </w:pPr>
            <w:r>
              <w:rPr>
                <w:rFonts w:ascii="Liberation Serif" w:hAnsi="Liberation Serif"/>
                <w:color w:val="000000"/>
                <w:sz w:val="20"/>
                <w:szCs w:val="20"/>
              </w:rPr>
              <w:t>(Вяземский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380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101</w:t>
            </w:r>
          </w:p>
        </w:tc>
        <w:tc>
          <w:tcPr>
            <w:tcW w:w="1355"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+11</w:t>
            </w:r>
          </w:p>
        </w:tc>
        <w:tc>
          <w:tcPr>
            <w:tcW w:w="1774"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rFonts w:ascii="Liberation Serif" w:hAnsi="Liberation Serif"/>
                <w:b/>
                <w:sz w:val="24"/>
              </w:rPr>
            </w:pPr>
            <w:r>
              <w:rPr>
                <w:rFonts w:ascii="Liberation Serif" w:hAnsi="Liberation Serif"/>
                <w:b/>
                <w:sz w:val="24"/>
              </w:rPr>
              <w:t>241</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Вопь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Капыревщина</w:t>
            </w:r>
          </w:p>
          <w:p>
            <w:pPr>
              <w:pStyle w:val="Normal"/>
              <w:widowControl w:val="false"/>
              <w:ind w:hanging="0"/>
              <w:jc w:val="center"/>
              <w:textAlignment w:val="center"/>
              <w:rPr>
                <w:sz w:val="20"/>
                <w:szCs w:val="20"/>
              </w:rPr>
            </w:pPr>
            <w:r>
              <w:rPr>
                <w:rFonts w:ascii="Liberation Serif" w:hAnsi="Liberation Serif"/>
                <w:color w:val="000000"/>
                <w:sz w:val="20"/>
                <w:szCs w:val="20"/>
              </w:rPr>
              <w:t>(Ярцевский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212</w:t>
            </w:r>
          </w:p>
        </w:tc>
        <w:tc>
          <w:tcPr>
            <w:tcW w:w="1355"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+23</w:t>
            </w:r>
          </w:p>
        </w:tc>
        <w:tc>
          <w:tcPr>
            <w:tcW w:w="1774"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rFonts w:ascii="Liberation Serif" w:hAnsi="Liberation Serif"/>
                <w:b/>
                <w:sz w:val="24"/>
              </w:rPr>
            </w:pPr>
            <w:r>
              <w:rPr>
                <w:rFonts w:ascii="Liberation Serif" w:hAnsi="Liberation Serif"/>
                <w:b/>
                <w:sz w:val="24"/>
              </w:rPr>
              <w:t>463</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Сож</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Ускосы</w:t>
            </w:r>
          </w:p>
          <w:p>
            <w:pPr>
              <w:pStyle w:val="Normal"/>
              <w:widowControl w:val="false"/>
              <w:ind w:hanging="0"/>
              <w:jc w:val="center"/>
              <w:textAlignment w:val="center"/>
              <w:rPr>
                <w:sz w:val="20"/>
                <w:szCs w:val="20"/>
              </w:rPr>
            </w:pPr>
            <w:r>
              <w:rPr>
                <w:rFonts w:ascii="Liberation Serif" w:hAnsi="Liberation Serif"/>
                <w:color w:val="000000"/>
                <w:sz w:val="20"/>
                <w:szCs w:val="20"/>
              </w:rPr>
              <w:t>(Хиславичский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color w:val="auto"/>
              </w:rPr>
            </w:pPr>
            <w:r>
              <w:rPr>
                <w:rFonts w:ascii="Liberation Serif" w:hAnsi="Liberation Serif"/>
                <w:color w:val="auto"/>
                <w:sz w:val="24"/>
              </w:rPr>
              <w:t>116</w:t>
            </w:r>
          </w:p>
        </w:tc>
        <w:tc>
          <w:tcPr>
            <w:tcW w:w="135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color w:val="auto"/>
              </w:rPr>
            </w:pPr>
            <w:r>
              <w:rPr>
                <w:rFonts w:ascii="Liberation Serif" w:hAnsi="Liberation Serif"/>
                <w:color w:val="auto"/>
                <w:sz w:val="24"/>
              </w:rPr>
              <w:t>+47</w:t>
            </w:r>
          </w:p>
        </w:tc>
        <w:tc>
          <w:tcPr>
            <w:tcW w:w="1774"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color w:val="auto"/>
              </w:rPr>
            </w:pPr>
            <w:r>
              <w:rPr>
                <w:rFonts w:ascii="Liberation Serif" w:hAnsi="Liberation Serif"/>
                <w:b/>
                <w:color w:val="auto"/>
                <w:sz w:val="24"/>
              </w:rPr>
              <w:t>289</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Хмара</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Красиловка</w:t>
            </w:r>
          </w:p>
          <w:p>
            <w:pPr>
              <w:pStyle w:val="Normal"/>
              <w:widowControl w:val="false"/>
              <w:ind w:hanging="0"/>
              <w:jc w:val="center"/>
              <w:textAlignment w:val="center"/>
              <w:rPr>
                <w:sz w:val="20"/>
                <w:szCs w:val="20"/>
              </w:rPr>
            </w:pPr>
            <w:r>
              <w:rPr>
                <w:rFonts w:ascii="Liberation Serif" w:hAnsi="Liberation Serif"/>
                <w:color w:val="000000"/>
                <w:sz w:val="20"/>
                <w:szCs w:val="20"/>
              </w:rPr>
              <w:t>(Починковский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234</w:t>
            </w:r>
          </w:p>
        </w:tc>
        <w:tc>
          <w:tcPr>
            <w:tcW w:w="135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+91</w:t>
            </w:r>
          </w:p>
        </w:tc>
        <w:tc>
          <w:tcPr>
            <w:tcW w:w="1774"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rFonts w:ascii="Liberation Serif" w:hAnsi="Liberation Serif"/>
                <w:b/>
                <w:sz w:val="24"/>
              </w:rPr>
            </w:pPr>
            <w:r>
              <w:rPr>
                <w:rFonts w:ascii="Liberation Serif" w:hAnsi="Liberation Serif"/>
                <w:b/>
                <w:sz w:val="24"/>
              </w:rPr>
              <w:t>171</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Зап. Двина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Велиж</w:t>
            </w:r>
          </w:p>
          <w:p>
            <w:pPr>
              <w:pStyle w:val="Normal"/>
              <w:widowControl w:val="false"/>
              <w:ind w:hanging="0"/>
              <w:jc w:val="center"/>
              <w:textAlignment w:val="center"/>
              <w:rPr>
                <w:sz w:val="20"/>
                <w:szCs w:val="20"/>
              </w:rPr>
            </w:pPr>
            <w:r>
              <w:rPr>
                <w:rFonts w:ascii="Liberation Serif" w:hAnsi="Liberation Serif"/>
                <w:color w:val="000000"/>
                <w:sz w:val="20"/>
                <w:szCs w:val="20"/>
              </w:rPr>
              <w:t>(Велижский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1100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278</w:t>
            </w:r>
          </w:p>
        </w:tc>
        <w:tc>
          <w:tcPr>
            <w:tcW w:w="1355"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+11</w:t>
            </w:r>
          </w:p>
        </w:tc>
        <w:tc>
          <w:tcPr>
            <w:tcW w:w="1774"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rFonts w:ascii="Liberation Serif" w:hAnsi="Liberation Serif"/>
                <w:b/>
                <w:sz w:val="24"/>
              </w:rPr>
            </w:pPr>
            <w:r>
              <w:rPr>
                <w:rFonts w:ascii="Liberation Serif" w:hAnsi="Liberation Serif"/>
                <w:b/>
                <w:sz w:val="24"/>
              </w:rPr>
              <w:t>712</w:t>
            </w:r>
          </w:p>
        </w:tc>
      </w:tr>
      <w:tr>
        <w:trPr>
          <w:trHeight w:val="510"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Каспля</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Демидов</w:t>
            </w:r>
          </w:p>
          <w:p>
            <w:pPr>
              <w:pStyle w:val="Normal"/>
              <w:widowControl w:val="false"/>
              <w:ind w:hanging="0"/>
              <w:jc w:val="center"/>
              <w:textAlignment w:val="center"/>
              <w:rPr>
                <w:sz w:val="20"/>
                <w:szCs w:val="20"/>
              </w:rPr>
            </w:pPr>
            <w:r>
              <w:rPr>
                <w:rFonts w:ascii="Liberation Serif" w:hAnsi="Liberation Serif"/>
                <w:color w:val="000000"/>
                <w:sz w:val="20"/>
                <w:szCs w:val="20"/>
              </w:rPr>
              <w:t>(Демидовский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820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260</w:t>
            </w:r>
          </w:p>
        </w:tc>
        <w:tc>
          <w:tcPr>
            <w:tcW w:w="135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+153</w:t>
            </w:r>
          </w:p>
        </w:tc>
        <w:tc>
          <w:tcPr>
            <w:tcW w:w="1774"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rFonts w:ascii="Liberation Serif" w:hAnsi="Liberation Serif"/>
                <w:b/>
                <w:sz w:val="24"/>
              </w:rPr>
            </w:pPr>
            <w:r>
              <w:rPr>
                <w:rFonts w:ascii="Liberation Serif" w:hAnsi="Liberation Serif"/>
                <w:b/>
                <w:sz w:val="24"/>
              </w:rPr>
              <w:t>478</w:t>
            </w:r>
          </w:p>
        </w:tc>
      </w:tr>
      <w:tr>
        <w:trPr>
          <w:trHeight w:val="510"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Гжать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Гагарин</w:t>
            </w:r>
          </w:p>
          <w:p>
            <w:pPr>
              <w:pStyle w:val="Normal"/>
              <w:widowControl w:val="false"/>
              <w:ind w:hanging="0"/>
              <w:jc w:val="center"/>
              <w:textAlignment w:val="center"/>
              <w:rPr>
                <w:sz w:val="20"/>
                <w:szCs w:val="20"/>
              </w:rPr>
            </w:pPr>
            <w:r>
              <w:rPr>
                <w:rFonts w:ascii="Liberation Serif" w:hAnsi="Liberation Serif"/>
                <w:color w:val="000000"/>
                <w:sz w:val="20"/>
                <w:szCs w:val="20"/>
              </w:rPr>
              <w:t>(Гагаринский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eastAsia="Noto Sans OldSouArab" w:cs="Noto Sans OldSouArab" w:ascii="Liberation Serif" w:hAnsi="Liberation Serif"/>
                <w:color w:val="000000"/>
                <w:sz w:val="22"/>
                <w:szCs w:val="22"/>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390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176</w:t>
            </w:r>
          </w:p>
        </w:tc>
        <w:tc>
          <w:tcPr>
            <w:tcW w:w="1355"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+107</w:t>
            </w:r>
          </w:p>
        </w:tc>
        <w:tc>
          <w:tcPr>
            <w:tcW w:w="1774"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hanging="0"/>
              <w:jc w:val="center"/>
              <w:rPr>
                <w:rFonts w:ascii="Liberation Serif" w:hAnsi="Liberation Serif"/>
                <w:b/>
                <w:sz w:val="24"/>
              </w:rPr>
            </w:pPr>
            <w:r>
              <w:rPr>
                <w:rFonts w:ascii="Liberation Serif" w:hAnsi="Liberation Serif"/>
                <w:b/>
                <w:sz w:val="24"/>
              </w:rPr>
              <w:t>214</w:t>
            </w:r>
          </w:p>
        </w:tc>
      </w:tr>
    </w:tbl>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2"/>
        <w:gridCol w:w="1666"/>
        <w:gridCol w:w="1591"/>
        <w:gridCol w:w="1365"/>
        <w:gridCol w:w="2234"/>
      </w:tblGrid>
      <w:tr>
        <w:trPr>
          <w:trHeight w:val="340"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50"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59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19.04.2024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198,41 (+0,03)</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16,0(+5,0)</w:t>
            </w:r>
          </w:p>
        </w:tc>
        <w:tc>
          <w:tcPr>
            <w:tcW w:w="1591" w:type="dxa"/>
            <w:tcBorders>
              <w:left w:val="single" w:sz="4" w:space="0" w:color="000000"/>
              <w:bottom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8,0(+6,0)</w:t>
            </w:r>
          </w:p>
        </w:tc>
        <w:tc>
          <w:tcPr>
            <w:tcW w:w="1365" w:type="dxa"/>
            <w:tcBorders>
              <w:left w:val="single" w:sz="4" w:space="0" w:color="000000"/>
              <w:bottom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100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99,95</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20.04.2024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198,47 (+0,06)</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16,0(0)</w:t>
            </w:r>
          </w:p>
        </w:tc>
        <w:tc>
          <w:tcPr>
            <w:tcW w:w="1591" w:type="dxa"/>
            <w:tcBorders>
              <w:left w:val="single" w:sz="4" w:space="0" w:color="000000"/>
              <w:bottom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8,0(0)</w:t>
            </w:r>
          </w:p>
        </w:tc>
        <w:tc>
          <w:tcPr>
            <w:tcW w:w="1365" w:type="dxa"/>
            <w:tcBorders>
              <w:left w:val="single" w:sz="4" w:space="0" w:color="000000"/>
              <w:bottom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100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themeColor="text1"/>
              </w:rPr>
            </w:pPr>
            <w:r>
              <w:rPr>
                <w:color w:val="000000" w:themeColor="text1"/>
              </w:rPr>
              <w:t>99,98</w:t>
            </w:r>
          </w:p>
        </w:tc>
      </w:tr>
    </w:tbl>
    <w:p>
      <w:pPr>
        <w:pStyle w:val="Normal"/>
        <w:spacing w:before="113" w:after="0"/>
        <w:rPr>
          <w:color w:val="auto"/>
        </w:rPr>
      </w:pPr>
      <w:r>
        <w:rPr>
          <w:color w:val="auto"/>
        </w:rPr>
      </w:r>
    </w:p>
    <w:p>
      <w:pPr>
        <w:pStyle w:val="Normal"/>
        <w:spacing w:before="113" w:after="0"/>
        <w:rPr>
          <w:color w:val="auto"/>
        </w:rPr>
      </w:pPr>
      <w:r>
        <w:rPr>
          <w:b/>
          <w:bCs/>
          <w:color w:val="auto"/>
          <w:sz w:val="24"/>
          <w:szCs w:val="24"/>
        </w:rPr>
        <w:t>1.5. Лесопожарная обстановка.</w:t>
      </w:r>
    </w:p>
    <w:p>
      <w:pPr>
        <w:pStyle w:val="Normal"/>
        <w:tabs>
          <w:tab w:val="clear" w:pos="8520"/>
          <w:tab w:val="left" w:pos="5175" w:leader="none"/>
        </w:tabs>
        <w:rPr>
          <w:color w:val="auto"/>
        </w:rPr>
      </w:pPr>
      <w:r>
        <w:rPr>
          <w:rFonts w:cs="Times New Roman"/>
          <w:b/>
          <w:bCs/>
          <w:color w:val="auto"/>
          <w:sz w:val="24"/>
          <w:szCs w:val="24"/>
        </w:rPr>
        <w:t xml:space="preserve">По данным Смоленского ЦГМС – филиала ФГБУ «Центральное УГМС» и ФГБУ «Гидрометцентр России» </w:t>
      </w:r>
      <w:r>
        <w:rPr>
          <w:rFonts w:cs="Times New Roman"/>
          <w:b w:val="false"/>
          <w:bCs w:val="false"/>
          <w:color w:val="auto"/>
          <w:sz w:val="24"/>
          <w:szCs w:val="24"/>
        </w:rPr>
        <w:t>по погодным условиям наблюдается: на всей территории области</w:t>
      </w:r>
      <w:r>
        <w:rPr>
          <w:rFonts w:cs="Times New Roman"/>
          <w:b/>
          <w:bCs/>
          <w:color w:val="auto"/>
          <w:sz w:val="24"/>
          <w:szCs w:val="24"/>
        </w:rPr>
        <w:t xml:space="preserve"> — 1 (отсутствует) класс пожарной опасности.</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+8…+12°C. Дорожное покрытие сухое.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rPr>
          <w:color w:val="auto"/>
        </w:rPr>
      </w:pPr>
      <w:r>
        <w:rPr>
          <w:color w:val="auto"/>
          <w:sz w:val="24"/>
          <w:szCs w:val="24"/>
        </w:rPr>
        <w:t>За прошедшие сутки пожарно-спасательные подразделения к ликвидации пожаров привлекались 3 разо, пострадавших нет. (АППГ 50/0).</w:t>
      </w:r>
    </w:p>
    <w:p>
      <w:pPr>
        <w:pStyle w:val="NormalWeb"/>
        <w:tabs>
          <w:tab w:val="clear" w:pos="8520"/>
          <w:tab w:val="left" w:pos="851" w:leader="none"/>
        </w:tabs>
        <w:spacing w:before="227" w:after="113"/>
        <w:ind w:firstLine="680"/>
        <w:jc w:val="center"/>
        <w:rPr/>
      </w:pPr>
      <w:r>
        <w:rPr>
          <w:b/>
          <w:bCs/>
          <w:color w:val="auto"/>
        </w:rPr>
        <w:t>II. Прогноз возникновения происше</w:t>
      </w:r>
      <w:r>
        <w:rPr>
          <w:b/>
          <w:bCs/>
        </w:rPr>
        <w:t>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 xml:space="preserve">Неблагоприятные метеорологические явления: </w:t>
      </w:r>
      <w:r>
        <w:rPr>
          <w:b w:val="false"/>
          <w:bCs w:val="false"/>
          <w:i/>
          <w:iCs/>
          <w:sz w:val="24"/>
          <w:szCs w:val="24"/>
        </w:rPr>
        <w:t>не прогнозируются</w:t>
      </w:r>
      <w:r>
        <w:rPr>
          <w:rFonts w:eastAsia="Arial"/>
          <w:b w:val="false"/>
          <w:bCs w:val="false"/>
          <w:i/>
          <w:iCs/>
          <w:sz w:val="24"/>
          <w:szCs w:val="24"/>
        </w:rPr>
        <w:t>.</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ind w:firstLine="709"/>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а также метеорологическими условиями (источник — порывы ветра до 1</w:t>
      </w:r>
      <w:r>
        <w:rPr>
          <w:rFonts w:eastAsia="Arial"/>
          <w:bCs/>
          <w:color w:val="auto"/>
          <w:sz w:val="24"/>
          <w:szCs w:val="24"/>
        </w:rPr>
        <w:t>7</w:t>
      </w:r>
      <w:r>
        <w:rPr>
          <w:rFonts w:eastAsia="Arial"/>
          <w:bCs/>
          <w:color w:val="auto"/>
          <w:sz w:val="24"/>
          <w:szCs w:val="24"/>
        </w:rPr>
        <w:t xml:space="preserve"> м/с). С наибольшей вероятностью риск прогнозируется на территории Ельнинского, Починковского, Рославльского, Смоленского районов;</w:t>
      </w:r>
    </w:p>
    <w:p>
      <w:pPr>
        <w:pStyle w:val="Normal"/>
        <w:tabs>
          <w:tab w:val="clear" w:pos="8520"/>
          <w:tab w:val="left" w:pos="5250" w:leader="none"/>
        </w:tabs>
        <w:spacing w:lineRule="auto" w:line="240" w:before="0" w:after="0"/>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метеорологическими условиями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(источник — порывы ветра до 1</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7</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 м/с). Р</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иск прогнозируется на территории Ельнинского, Починковского, Рославльского, Смоленского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tabs>
          <w:tab w:val="clear" w:pos="8520"/>
          <w:tab w:val="left" w:pos="851" w:leader="none"/>
        </w:tabs>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(P=0,2),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метеорологическими условиями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(источник — н</w:t>
      </w:r>
      <w:r>
        <w:rPr>
          <w:rFonts w:eastAsia="Arial" w:cs="Times New Roman"/>
          <w:b w:val="false"/>
          <w:bCs w:val="false"/>
          <w:i w:val="false"/>
          <w:iCs w:val="false"/>
          <w:strike w:val="false"/>
          <w:dstrike w:val="false"/>
          <w:color w:val="000000"/>
          <w:kern w:val="0"/>
          <w:sz w:val="24"/>
          <w:szCs w:val="24"/>
          <w:shd w:fill="auto" w:val="clear"/>
          <w:lang w:eastAsia="ru-RU" w:bidi="ar-SA"/>
        </w:rPr>
        <w:t>очью и утром местами туман</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а также</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5250" w:leader="none"/>
        </w:tabs>
        <w:ind w:firstLine="709"/>
        <w:rPr>
          <w:color w:val="auto"/>
        </w:rPr>
      </w:pPr>
      <w:r>
        <w:rPr>
          <w:rFonts w:eastAsia="Arial"/>
          <w:color w:val="auto"/>
          <w:sz w:val="24"/>
          <w:szCs w:val="24"/>
        </w:rPr>
        <w:t>Риск возникновения природных пожаров на предстоящие сутки маловероятен</w:t>
      </w:r>
      <w:r>
        <w:rPr>
          <w:color w:val="auto"/>
          <w:sz w:val="24"/>
          <w:szCs w:val="24"/>
        </w:rPr>
        <w:t>.</w:t>
      </w:r>
    </w:p>
    <w:p>
      <w:pPr>
        <w:pStyle w:val="Normal"/>
        <w:spacing w:before="113" w:after="0"/>
        <w:rPr>
          <w:color w:val="auto"/>
        </w:rPr>
      </w:pPr>
      <w:r>
        <w:rPr>
          <w:b/>
          <w:bCs/>
          <w:color w:val="auto"/>
          <w:sz w:val="24"/>
          <w:szCs w:val="24"/>
        </w:rPr>
        <w:t>2.2. Техногенные источники (ЧС).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C9211E"/>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неосторожным обращением с огнём, возникновением короткого замыкания при повышении нагрузки на электрическую сеть в результате неисправности электрооборудования и нарушения ПУЭ. С наибольшей вероятностью риск прогнозируется на территории г. Смоленска, г. Десногорска, Вяземского, Гагаринского, Демидовского, Дорогобужского, Духовщинского, Кардымовского, Починковского, Рославльского, Руднянского, Сафоновского, Смоленского,</w:t>
      </w:r>
      <w:r>
        <w:rPr>
          <w:rFonts w:eastAsia="Arial"/>
          <w:bCs/>
          <w:color w:val="C9211E"/>
          <w:sz w:val="24"/>
          <w:szCs w:val="24"/>
        </w:rPr>
        <w:t xml:space="preserve"> </w:t>
      </w:r>
      <w:r>
        <w:rPr>
          <w:rFonts w:eastAsia="Arial"/>
          <w:bCs/>
          <w:color w:val="auto"/>
          <w:sz w:val="24"/>
          <w:szCs w:val="24"/>
        </w:rPr>
        <w:t>Сычёвского,</w:t>
      </w:r>
      <w:r>
        <w:rPr>
          <w:rFonts w:eastAsia="Arial"/>
          <w:bCs/>
          <w:color w:val="C9211E"/>
          <w:sz w:val="24"/>
          <w:szCs w:val="24"/>
        </w:rPr>
        <w:t xml:space="preserve"> </w:t>
      </w:r>
      <w:r>
        <w:rPr>
          <w:rFonts w:eastAsia="Arial"/>
          <w:bCs/>
          <w:color w:val="auto"/>
          <w:sz w:val="24"/>
          <w:szCs w:val="24"/>
        </w:rPr>
        <w:t>Угранского, Хиславичского,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(Р=0,1)</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color w:val="auto"/>
        </w:rPr>
      </w:pPr>
      <w:r>
        <w:rPr>
          <w:b/>
          <w:bCs/>
          <w:color w:val="auto"/>
          <w:sz w:val="24"/>
          <w:szCs w:val="24"/>
        </w:rPr>
        <w:t>2.3. Биолого-социальные источники чрезвычайных ситуаций.</w:t>
      </w:r>
    </w:p>
    <w:p>
      <w:pPr>
        <w:pStyle w:val="Normal"/>
        <w:rPr>
          <w:color w:val="auto"/>
        </w:rPr>
      </w:pPr>
      <w:r>
        <w:rPr>
          <w:bCs/>
          <w:color w:val="auto"/>
          <w:sz w:val="24"/>
          <w:szCs w:val="24"/>
        </w:rPr>
        <w:t>Прогнозируется вероятность рисков:</w:t>
      </w:r>
    </w:p>
    <w:p>
      <w:pPr>
        <w:pStyle w:val="Normal"/>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-заболевания клещевым энцефалитом </w:t>
      </w:r>
      <w:r>
        <w:rPr>
          <w:b/>
          <w:bCs/>
          <w:color w:val="auto"/>
          <w:sz w:val="24"/>
          <w:szCs w:val="24"/>
        </w:rPr>
        <w:t>(Р=0,1)</w:t>
      </w:r>
      <w:r>
        <w:rPr>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+8°C.</w:t>
      </w:r>
    </w:p>
    <w:p>
      <w:pPr>
        <w:pStyle w:val="Normal"/>
        <w:rPr>
          <w:color w:val="auto"/>
        </w:rPr>
      </w:pPr>
      <w:r>
        <w:rPr>
          <w:bCs/>
          <w:color w:val="auto"/>
          <w:sz w:val="24"/>
          <w:szCs w:val="24"/>
        </w:rPr>
        <w:t>Прогнозируется вероятность рисков:</w:t>
      </w:r>
    </w:p>
    <w:p>
      <w:pPr>
        <w:pStyle w:val="Normal"/>
        <w:rPr>
          <w:color w:val="auto"/>
        </w:rPr>
      </w:pPr>
      <w:r>
        <w:rPr>
          <w:bCs/>
          <w:color w:val="auto"/>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3" w:name="OLE_LINK30"/>
      <w:bookmarkStart w:id="24" w:name="OLE_LINK29"/>
      <w:r>
        <w:rPr>
          <w:color w:val="auto"/>
          <w:sz w:val="24"/>
          <w:szCs w:val="24"/>
        </w:rPr>
        <w:t>ентра управления производством автодороги М-1 «Беларусь</w:t>
      </w:r>
      <w:bookmarkEnd w:id="23"/>
      <w:bookmarkEnd w:id="24"/>
      <w:r>
        <w:rPr>
          <w:color w:val="auto"/>
          <w:sz w:val="24"/>
          <w:szCs w:val="24"/>
        </w:rPr>
        <w:t>» прогнозируется о</w:t>
      </w:r>
      <w:r>
        <w:rPr>
          <w:rFonts w:eastAsia="Arial" w:cs="Times New Roman"/>
          <w:color w:val="auto"/>
          <w:spacing w:val="2"/>
          <w:sz w:val="24"/>
          <w:szCs w:val="24"/>
        </w:rPr>
        <w:t>блачно с прояснениями</w:t>
      </w:r>
      <w:r>
        <w:rPr>
          <w:rFonts w:eastAsia="Arial"/>
          <w:color w:val="auto"/>
          <w:spacing w:val="2"/>
          <w:sz w:val="24"/>
          <w:szCs w:val="24"/>
        </w:rPr>
        <w:t>. Утром местами небольшие осадки, преимущественно в виде дождя, днём дождя</w:t>
      </w:r>
      <w:r>
        <w:rPr>
          <w:rFonts w:eastAsia="Arial" w:cs="Times New Roman"/>
          <w:color w:val="auto"/>
          <w:spacing w:val="2"/>
          <w:sz w:val="24"/>
          <w:szCs w:val="24"/>
        </w:rPr>
        <w:t>.</w:t>
      </w:r>
    </w:p>
    <w:p>
      <w:pPr>
        <w:pStyle w:val="Normal"/>
        <w:rPr>
          <w:color w:val="auto"/>
        </w:rPr>
      </w:pPr>
      <w:r>
        <w:rPr>
          <w:color w:val="auto"/>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 xml:space="preserve">-органам управления муниципальных образований всех уровней регулярно проводить первичные комплексы мероприятий по обеспечению безопасности людей на водных объектах, </w:t>
      </w:r>
      <w:r>
        <w:rPr>
          <w:color w:val="auto"/>
          <w:sz w:val="24"/>
          <w:szCs w:val="28"/>
        </w:rPr>
        <w:t>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w:t>
      </w:r>
      <w:r>
        <w:rPr>
          <w:color w:val="auto"/>
          <w:sz w:val="24"/>
          <w:szCs w:val="24"/>
        </w:rPr>
        <w:t xml:space="preserve">; </w:t>
      </w:r>
      <w:r>
        <w:rPr>
          <w:color w:val="auto"/>
          <w:sz w:val="24"/>
          <w:szCs w:val="28"/>
        </w:rPr>
        <w:t>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rPr>
          <w:color w:val="auto"/>
        </w:rPr>
      </w:pPr>
      <w:bookmarkStart w:id="25" w:name="__DdeLink__574_4270567454"/>
      <w:bookmarkEnd w:id="25"/>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rPr>
          <w:color w:val="auto"/>
        </w:rPr>
      </w:pPr>
      <w:r>
        <w:rPr>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pPr>
        <w:pStyle w:val="Normal"/>
        <w:spacing w:lineRule="auto" w:line="240" w:before="0" w:after="0"/>
        <w:ind w:firstLine="680"/>
        <w:rPr>
          <w:color w:val="auto"/>
        </w:rPr>
      </w:pPr>
      <w:r>
        <w:rPr>
          <w:bCs/>
          <w:color w:val="auto"/>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color w:val="auto"/>
        </w:rPr>
      </w:pPr>
      <w:r>
        <w:rPr>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 что может привести к возникновению природных пожаров;</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color w:val="auto"/>
        </w:rPr>
      </w:pPr>
      <w:r>
        <w:rPr>
          <w:color w:val="auto"/>
        </w:rPr>
      </w:r>
    </w:p>
    <w:p>
      <w:pPr>
        <w:pStyle w:val="Normal"/>
        <w:rPr/>
      </w:pPr>
      <w:r>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drawing>
          <wp:anchor behindDoc="0" distT="0" distB="0" distL="0" distR="0" simplePos="0" locked="0" layoutInCell="0" allowOverlap="1" relativeHeight="5">
            <wp:simplePos x="0" y="0"/>
            <wp:positionH relativeFrom="column">
              <wp:posOffset>4177030</wp:posOffset>
            </wp:positionH>
            <wp:positionV relativeFrom="paragraph">
              <wp:posOffset>106680</wp:posOffset>
            </wp:positionV>
            <wp:extent cx="993775" cy="758825"/>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993775" cy="758825"/>
                    </a:xfrm>
                    <a:prstGeom prst="rect">
                      <a:avLst/>
                    </a:prstGeom>
                  </pic:spPr>
                </pic:pic>
              </a:graphicData>
            </a:graphic>
          </wp:anchor>
        </w:drawing>
      </w: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t>Е.М. Ермаков</w:t>
      </w:r>
    </w:p>
    <w:p>
      <w:pPr>
        <w:pStyle w:val="Normal"/>
        <w:ind w:hanging="0"/>
        <w:rPr/>
      </w:pPr>
      <w:r>
        <w:rPr>
          <w:sz w:val="24"/>
          <w:szCs w:val="24"/>
        </w:rPr>
        <w:t>20.04.2024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 xml:space="preserve">Исп. </w:t>
      </w:r>
      <w:r>
        <w:rPr>
          <w:sz w:val="21"/>
          <w:szCs w:val="21"/>
        </w:rPr>
        <w:t>Наумов</w:t>
      </w:r>
      <w:r>
        <w:rPr>
          <w:sz w:val="21"/>
          <w:szCs w:val="21"/>
        </w:rPr>
        <w:t xml:space="preserve"> </w:t>
      </w:r>
      <w:r>
        <w:rPr>
          <w:sz w:val="21"/>
          <w:szCs w:val="21"/>
        </w:rPr>
        <w:t>А</w:t>
      </w:r>
      <w:r>
        <w:rPr>
          <w:sz w:val="21"/>
          <w:szCs w:val="21"/>
        </w:rPr>
        <w:t>.</w:t>
      </w:r>
      <w:r>
        <w:rPr>
          <w:sz w:val="21"/>
          <w:szCs w:val="21"/>
        </w:rPr>
        <w:t>А</w:t>
      </w:r>
      <w:r>
        <w:rPr>
          <w:sz w:val="21"/>
          <w:szCs w:val="21"/>
        </w:rPr>
        <w:t>.</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8">
              <w:r>
                <w:rPr>
                  <w:rFonts w:ascii="Liberation Serif" w:hAnsi="Liberation Serif"/>
                  <w:color w:val="000000"/>
                  <w:sz w:val="16"/>
                  <w:szCs w:val="16"/>
                </w:rPr>
                <w:t>zanruk@admin-smolensk.r</w:t>
              </w:r>
            </w:hyperlink>
            <w:hyperlink r:id="rId19">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3">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4">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4">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60"/>
  <w:embedSystemFonts/>
  <w:defaultTabStop w:val="7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708"/>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708"/>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hyperlink" Target="mailto:region@admin-smolensk.ru" TargetMode="External"/><Relationship Id="rId6" Type="http://schemas.openxmlformats.org/officeDocument/2006/relationships/hyperlink" Target="mailto:Homutova_VM@admin-smolensk.ru" TargetMode="External"/><Relationship Id="rId7" Type="http://schemas.openxmlformats.org/officeDocument/2006/relationships/hyperlink" Target="mailto:xxxxxx@admin.smolensk.ru" TargetMode="External"/><Relationship Id="rId8" Type="http://schemas.openxmlformats.org/officeDocument/2006/relationships/hyperlink" Target="mailto:samoupr@admin-smolensk.ru" TargetMode="External"/><Relationship Id="rId9" Type="http://schemas.openxmlformats.org/officeDocument/2006/relationships/hyperlink" Target="mailto:kontrdep@admin-smolensk.ru" TargetMode="External"/><Relationship Id="rId10" Type="http://schemas.openxmlformats.org/officeDocument/2006/relationships/hyperlink" Target="mailto:depim@admin-smolensk.ru" TargetMode="External"/><Relationship Id="rId11" Type="http://schemas.openxmlformats.org/officeDocument/2006/relationships/hyperlink" Target="mailto:econ@admin-smolensk.ru" TargetMode="External"/><Relationship Id="rId12" Type="http://schemas.openxmlformats.org/officeDocument/2006/relationships/hyperlink" Target="mailto:dep@smolinvest.com" TargetMode="External"/><Relationship Id="rId13" Type="http://schemas.openxmlformats.org/officeDocument/2006/relationships/hyperlink" Target="mailto:Romanova_EA@admin-smolensk.ru" TargetMode="External"/><Relationship Id="rId14" Type="http://schemas.openxmlformats.org/officeDocument/2006/relationships/hyperlink" Target="mailto:info@zdrav-smolensk.ru" TargetMode="External"/><Relationship Id="rId15" Type="http://schemas.openxmlformats.org/officeDocument/2006/relationships/hyperlink" Target="mailto:obraz@admin-smolensk.ru" TargetMode="External"/><Relationship Id="rId16" Type="http://schemas.openxmlformats.org/officeDocument/2006/relationships/hyperlink" Target="mailto:kult@admin-smolensk.ru" TargetMode="External"/><Relationship Id="rId17" Type="http://schemas.openxmlformats.org/officeDocument/2006/relationships/hyperlink" Target="mailto:its@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xxxxxx@admin.smolensk.ru" TargetMode="External"/><Relationship Id="rId20" Type="http://schemas.openxmlformats.org/officeDocument/2006/relationships/hyperlink" Target="mailto:selhoz@admin-smolensk.ru" TargetMode="External"/><Relationship Id="rId21" Type="http://schemas.openxmlformats.org/officeDocument/2006/relationships/hyperlink" Target="mailto:smolpriroda@admin-smolensk.ru" TargetMode="External"/><Relationship Id="rId22" Type="http://schemas.openxmlformats.org/officeDocument/2006/relationships/hyperlink" Target="mailto:les@admin-smolensk.ru" TargetMode="External"/><Relationship Id="rId23" Type="http://schemas.openxmlformats.org/officeDocument/2006/relationships/hyperlink" Target="mailto:savst2@admin-smolensk.ru" TargetMode="External"/><Relationship Id="rId24" Type="http://schemas.openxmlformats.org/officeDocument/2006/relationships/hyperlink" Target="mailto:energy@admin-smolensk.ru" TargetMode="External"/><Relationship Id="rId25" Type="http://schemas.openxmlformats.org/officeDocument/2006/relationships/hyperlink" Target="mailto:sport@admin-smolensk.ru" TargetMode="External"/><Relationship Id="rId26" Type="http://schemas.openxmlformats.org/officeDocument/2006/relationships/hyperlink" Target="mailto:gugsn@admin-smolensk.ru" TargetMode="External"/><Relationship Id="rId27" Type="http://schemas.openxmlformats.org/officeDocument/2006/relationships/hyperlink" Target="mailto: goszakaz@admin-smolensk.ru" TargetMode="External"/><Relationship Id="rId28" Type="http://schemas.openxmlformats.org/officeDocument/2006/relationships/hyperlink" Target="mailto:zags@admin-smolensk.ru" TargetMode="External"/><Relationship Id="rId29" Type="http://schemas.openxmlformats.org/officeDocument/2006/relationships/hyperlink" Target="mailto:uggi@admin-smolensk.ru" TargetMode="External"/><Relationship Id="rId30" Type="http://schemas.openxmlformats.org/officeDocument/2006/relationships/hyperlink" Target="mailto:vet@admin-smolensk.ru" TargetMode="External"/><Relationship Id="rId31" Type="http://schemas.openxmlformats.org/officeDocument/2006/relationships/hyperlink" Target="mailto:gugzipb@admin-smolensk.ru" TargetMode="External"/><Relationship Id="rId32" Type="http://schemas.openxmlformats.org/officeDocument/2006/relationships/hyperlink" Target="mailto:patriot@admin-smolensk.ru" TargetMode="External"/><Relationship Id="rId33" Type="http://schemas.openxmlformats.org/officeDocument/2006/relationships/hyperlink" Target="mailto:nasledie@admin-smolensk.ru" TargetMode="External"/><Relationship Id="rId34" Type="http://schemas.openxmlformats.org/officeDocument/2006/relationships/hyperlink" Target="mailto:mirsud1@admin-smolensk.ru" TargetMode="Externa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22400</TotalTime>
  <Application>LibreOffice/7.5.2.1$Linux_X86_64 LibreOffice_project/50$Build-1</Application>
  <AppVersion>15.0000</AppVersion>
  <Pages>11</Pages>
  <Words>3895</Words>
  <Characters>31505</Characters>
  <CharactersWithSpaces>35003</CharactersWithSpaces>
  <Paragraphs>633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2024-04-20T12:35:05Z</dcterms:modified>
  <cp:revision>7349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