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12.04.202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jc w:val="center"/>
        <w:rPr>
          <w:b/>
          <w:bCs/>
          <w:sz w:val="26"/>
          <w:szCs w:val="26"/>
        </w:rPr>
      </w:pPr>
      <w:r>
        <w:rPr>
          <w:b/>
          <w:bCs/>
          <w:sz w:val="26"/>
          <w:szCs w:val="26"/>
        </w:rPr>
      </w:r>
    </w:p>
    <w:p>
      <w:pPr>
        <w:pStyle w:val="Normal"/>
        <w:jc w:val="center"/>
        <w:rPr>
          <w:b/>
          <w:bCs/>
          <w:sz w:val="26"/>
          <w:szCs w:val="26"/>
        </w:rPr>
      </w:pPr>
      <w:r>
        <w:rPr>
          <w:b/>
          <w:bCs/>
          <w:sz w:val="26"/>
          <w:szCs w:val="26"/>
        </w:rPr>
      </w:r>
    </w:p>
    <w:p>
      <w:pPr>
        <w:pStyle w:val="Normal"/>
        <w:jc w:val="center"/>
        <w:rPr>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13 апреля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pPr>
      <w:r>
        <w:rPr>
          <w:color w:val="auto"/>
          <w:spacing w:val="2"/>
          <w:sz w:val="24"/>
          <w:szCs w:val="24"/>
        </w:rPr>
        <w:t>Облачно с прояснениями. Ночью без существенных осадков, днем кратковременные дожди</w:t>
      </w:r>
      <w:r>
        <w:rPr>
          <w:rFonts w:eastAsia="Arial"/>
          <w:color w:val="auto"/>
          <w:spacing w:val="2"/>
          <w:sz w:val="24"/>
          <w:szCs w:val="24"/>
        </w:rPr>
        <w:t xml:space="preserve">. </w:t>
      </w:r>
      <w:r>
        <w:rPr>
          <w:rFonts w:cs="Arial"/>
          <w:color w:val="auto"/>
          <w:spacing w:val="2"/>
          <w:sz w:val="24"/>
          <w:szCs w:val="24"/>
        </w:rPr>
        <w:t xml:space="preserve">Ветер </w:t>
      </w:r>
      <w:r>
        <w:rPr>
          <w:rFonts w:cs="Liberation Serif;Times New Roma" w:ascii="Liberation Serif;Times New Roma" w:hAnsi="Liberation Serif;Times New Roma"/>
          <w:color w:val="auto"/>
          <w:spacing w:val="2"/>
          <w:sz w:val="24"/>
          <w:szCs w:val="24"/>
        </w:rPr>
        <w:t>з</w:t>
      </w:r>
      <w:r>
        <w:rPr>
          <w:rFonts w:cs="Liberation Serif;Times New Roman" w:ascii="Liberation Serif;Times New Roman" w:hAnsi="Liberation Serif;Times New Roman"/>
          <w:color w:val="auto"/>
          <w:spacing w:val="2"/>
          <w:sz w:val="24"/>
          <w:szCs w:val="24"/>
        </w:rPr>
        <w:t>ападной четверти, 6-11 м/с</w:t>
      </w:r>
      <w:r>
        <w:rPr>
          <w:rFonts w:cs="Liberation Serif;Times New Roma" w:ascii="Liberation Serif;Times New Roma" w:hAnsi="Liberation Serif;Times New Roma"/>
          <w:color w:val="auto"/>
          <w:spacing w:val="2"/>
          <w:sz w:val="24"/>
          <w:szCs w:val="24"/>
        </w:rPr>
        <w:t>.</w:t>
      </w:r>
      <w:r>
        <w:rPr>
          <w:color w:val="auto"/>
          <w:spacing w:val="2"/>
          <w:sz w:val="24"/>
          <w:szCs w:val="24"/>
        </w:rPr>
        <w:t xml:space="preserve"> </w:t>
      </w:r>
      <w:bookmarkStart w:id="0" w:name="__DdeLink__2596_3785924683"/>
      <w:bookmarkStart w:id="1" w:name="__DdeLink__4058_295980833"/>
      <w:bookmarkStart w:id="2" w:name="__DdeLink__15920_3643242805"/>
      <w:bookmarkStart w:id="3" w:name="__DdeLink__492_4215499199"/>
      <w:bookmarkStart w:id="4" w:name="__DdeLink__6971_1008733088"/>
      <w:bookmarkStart w:id="5" w:name="__DdeLink__8776_1238342660"/>
      <w:bookmarkStart w:id="6" w:name="__DdeLink__2989_3577993372"/>
      <w:bookmarkStart w:id="7" w:name="__DdeLink__312_2481037630"/>
      <w:bookmarkStart w:id="8" w:name="__DdeLink__4301_2108927392"/>
      <w:bookmarkStart w:id="9" w:name="__DdeLink__2633_1219950872"/>
      <w:bookmarkStart w:id="10" w:name="__DdeLink__1900_2602816240"/>
      <w:bookmarkStart w:id="11" w:name="__DdeLink__420_246716379"/>
      <w:bookmarkStart w:id="12" w:name="__DdeLink__2301_1057431535"/>
      <w:bookmarkStart w:id="13" w:name="__DdeLink__4726_1991701590"/>
      <w:bookmarkStart w:id="14" w:name="__DdeLink__417_479931278"/>
      <w:bookmarkStart w:id="15" w:name="__DdeLink__9492_1809771745"/>
      <w:bookmarkStart w:id="16" w:name="__DdeLink__4335_3762997684"/>
      <w:bookmarkStart w:id="17" w:name="__DdeLink__640_680390011"/>
      <w:r>
        <w:rPr>
          <w:rFonts w:cs="Arial"/>
          <w:color w:val="auto"/>
          <w:spacing w:val="2"/>
          <w:sz w:val="24"/>
          <w:szCs w:val="24"/>
        </w:rPr>
        <w:t>Температура воздуха по области: ночью +3</w:t>
      </w:r>
      <w:r>
        <w:rPr>
          <w:rFonts w:eastAsia="Arial"/>
          <w:color w:val="auto"/>
          <w:spacing w:val="2"/>
          <w:sz w:val="24"/>
          <w:szCs w:val="24"/>
        </w:rPr>
        <w:t>…+8</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днём          +1</w:t>
      </w:r>
      <w:r>
        <w:rPr>
          <w:rFonts w:cs="Arial"/>
          <w:color w:val="auto"/>
          <w:spacing w:val="2"/>
          <w:sz w:val="24"/>
          <w:szCs w:val="24"/>
        </w:rPr>
        <w:t>0</w:t>
      </w:r>
      <w:r>
        <w:rPr>
          <w:rFonts w:cs="Arial"/>
          <w:color w:val="auto"/>
          <w:spacing w:val="2"/>
          <w:sz w:val="24"/>
          <w:szCs w:val="24"/>
        </w:rPr>
        <w:t>…+1</w:t>
      </w:r>
      <w:r>
        <w:rPr>
          <w:rFonts w:cs="Arial"/>
          <w:color w:val="auto"/>
          <w:spacing w:val="2"/>
          <w:sz w:val="24"/>
          <w:szCs w:val="24"/>
        </w:rPr>
        <w:t>5</w:t>
      </w:r>
      <w:r>
        <w:rPr>
          <w:rFonts w:cs="Arial"/>
          <w:color w:val="auto"/>
          <w:spacing w:val="2"/>
          <w:sz w:val="24"/>
          <w:szCs w:val="24"/>
        </w:rPr>
        <w:t xml:space="preserve">°C. В </w:t>
      </w:r>
      <w:bookmarkStart w:id="18" w:name="_Hlk97810311"/>
      <w:r>
        <w:rPr>
          <w:rFonts w:cs="Arial"/>
          <w:color w:val="auto"/>
          <w:spacing w:val="2"/>
          <w:sz w:val="24"/>
          <w:szCs w:val="24"/>
        </w:rPr>
        <w:t>Смоленске: ночью +</w:t>
      </w:r>
      <w:r>
        <w:rPr>
          <w:rFonts w:cs="Arial"/>
          <w:color w:val="auto"/>
          <w:spacing w:val="2"/>
          <w:sz w:val="24"/>
          <w:szCs w:val="24"/>
        </w:rPr>
        <w:t>5</w:t>
      </w:r>
      <w:r>
        <w:rPr>
          <w:rFonts w:cs="Arial"/>
          <w:color w:val="auto"/>
          <w:spacing w:val="2"/>
          <w:sz w:val="24"/>
          <w:szCs w:val="24"/>
        </w:rPr>
        <w:t>…+</w:t>
      </w:r>
      <w:r>
        <w:rPr>
          <w:rFonts w:cs="Arial"/>
          <w:color w:val="auto"/>
          <w:spacing w:val="2"/>
          <w:sz w:val="24"/>
          <w:szCs w:val="24"/>
        </w:rPr>
        <w:t>7</w:t>
      </w:r>
      <w:r>
        <w:rPr>
          <w:rFonts w:cs="Arial"/>
          <w:color w:val="auto"/>
          <w:spacing w:val="2"/>
          <w:sz w:val="24"/>
          <w:szCs w:val="24"/>
        </w:rPr>
        <w:t>°C, днё</w:t>
      </w:r>
      <w:bookmarkEnd w:id="17"/>
      <w:bookmarkEnd w:id="18"/>
      <w:r>
        <w:rPr>
          <w:rFonts w:cs="Arial"/>
          <w:color w:val="auto"/>
          <w:spacing w:val="2"/>
          <w:sz w:val="24"/>
          <w:szCs w:val="24"/>
        </w:rPr>
        <w:t>м +1</w:t>
      </w:r>
      <w:r>
        <w:rPr>
          <w:rFonts w:cs="Arial"/>
          <w:color w:val="auto"/>
          <w:spacing w:val="2"/>
          <w:sz w:val="24"/>
          <w:szCs w:val="24"/>
        </w:rPr>
        <w:t>1</w:t>
      </w:r>
      <w:r>
        <w:rPr>
          <w:rFonts w:cs="Arial"/>
          <w:color w:val="auto"/>
          <w:spacing w:val="2"/>
          <w:sz w:val="24"/>
          <w:szCs w:val="24"/>
        </w:rPr>
        <w:t>…+1</w:t>
      </w:r>
      <w:r>
        <w:rPr>
          <w:rFonts w:cs="Arial"/>
          <w:color w:val="auto"/>
          <w:spacing w:val="2"/>
          <w:sz w:val="24"/>
          <w:szCs w:val="24"/>
        </w:rPr>
        <w:t>3</w:t>
      </w:r>
      <w:r>
        <w:rPr>
          <w:rFonts w:cs="Arial"/>
          <w:color w:val="auto"/>
          <w:spacing w:val="2"/>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pacing w:val="2"/>
          <w:sz w:val="24"/>
          <w:szCs w:val="24"/>
        </w:rPr>
        <w:t xml:space="preserve"> </w:t>
      </w:r>
      <w:r>
        <w:rPr>
          <w:rFonts w:cs="Liberation Serif;Times New Roman" w:ascii="Liberation Serif;Times New Roman" w:hAnsi="Liberation Serif;Times New Roman"/>
          <w:color w:val="auto"/>
          <w:spacing w:val="2"/>
          <w:sz w:val="24"/>
          <w:szCs w:val="24"/>
        </w:rPr>
        <w:t>744 мм рт. столба, будет падать</w:t>
      </w:r>
      <w:r>
        <w:rPr>
          <w:rFonts w:cs="Arial"/>
          <w:color w:val="auto"/>
          <w:spacing w:val="2"/>
          <w:sz w:val="24"/>
          <w:szCs w:val="24"/>
        </w:rPr>
        <w:t>.</w:t>
      </w:r>
    </w:p>
    <w:p>
      <w:pPr>
        <w:pStyle w:val="Normal"/>
        <w:spacing w:before="113" w:after="0"/>
        <w:rPr>
          <w:color w:val="auto"/>
        </w:rPr>
      </w:pPr>
      <w:r>
        <w:rPr>
          <w:b/>
          <w:color w:val="auto"/>
          <w:sz w:val="24"/>
          <w:szCs w:val="24"/>
        </w:rPr>
        <w:t>1.2. Биолого-социальная обстановка.</w:t>
      </w:r>
    </w:p>
    <w:p>
      <w:pPr>
        <w:pStyle w:val="Style38"/>
        <w:spacing w:before="0" w:after="0"/>
        <w:rPr>
          <w:color w:val="auto"/>
        </w:rPr>
      </w:pPr>
      <w:r>
        <w:rPr>
          <w:color w:val="auto"/>
          <w:sz w:val="24"/>
          <w:szCs w:val="24"/>
        </w:rPr>
        <w:t>В Смоленской области зарегистрировано 151019 случая заболевания COVID-19 (прирост за неделю – 40 случаев).</w:t>
      </w:r>
    </w:p>
    <w:p>
      <w:pPr>
        <w:pStyle w:val="Style38"/>
        <w:spacing w:before="0" w:after="0"/>
        <w:rPr>
          <w:color w:val="auto"/>
        </w:rPr>
      </w:pPr>
      <w:r>
        <w:rPr>
          <w:color w:val="auto"/>
          <w:sz w:val="24"/>
          <w:szCs w:val="24"/>
        </w:rPr>
        <w:t>Количество лиц, находящихся под медицинским наблюдением – 158, в том числе на амбулаторном лечении – 134, в условиях изоляции в специализированных медицинских учреждениях – 24.</w:t>
      </w:r>
    </w:p>
    <w:p>
      <w:pPr>
        <w:pStyle w:val="Style38"/>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01.04.24 по 07.04.24 проведено лабораторных исследований – 121514. Всего проведено лабораторных исследований на наличие новой коронавирусной инфекции – 2361938.</w:t>
      </w:r>
    </w:p>
    <w:p>
      <w:pPr>
        <w:pStyle w:val="Style38"/>
        <w:spacing w:before="0" w:after="57"/>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rPr>
          <w:color w:val="auto"/>
        </w:rPr>
      </w:pPr>
      <w:r>
        <w:rPr>
          <w:color w:val="auto"/>
          <w:sz w:val="24"/>
          <w:szCs w:val="24"/>
        </w:rPr>
        <w:t>Управление Роспотребнадзора по Смоленской области информирует, что на 12 неделе 2024 года (с 18.03.2024 по 24.03.2024) в сравнении с предыдущей неделей уровень заболеваемости гриппом и ОРВИ по Смоленской области снизился на 15,8%.</w:t>
      </w:r>
    </w:p>
    <w:p>
      <w:pPr>
        <w:pStyle w:val="Style38"/>
        <w:spacing w:before="0" w:after="0"/>
        <w:rPr>
          <w:color w:val="auto"/>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37,4% и 35,3%.</w:t>
      </w:r>
    </w:p>
    <w:p>
      <w:pPr>
        <w:pStyle w:val="Style38"/>
        <w:spacing w:before="0" w:after="0"/>
        <w:rPr>
          <w:color w:val="auto"/>
        </w:rPr>
      </w:pPr>
      <w:r>
        <w:rPr>
          <w:color w:val="auto"/>
          <w:sz w:val="24"/>
          <w:szCs w:val="24"/>
        </w:rPr>
        <w:t>В эпидсезоне 2023-2024 гг. зарегистрировано 454 случая гриппа.</w:t>
      </w:r>
    </w:p>
    <w:p>
      <w:pPr>
        <w:pStyle w:val="Style38"/>
        <w:spacing w:before="0" w:after="0"/>
        <w:rPr>
          <w:color w:val="auto"/>
        </w:rPr>
      </w:pPr>
      <w:r>
        <w:rPr>
          <w:color w:val="auto"/>
          <w:sz w:val="24"/>
          <w:szCs w:val="24"/>
        </w:rPr>
        <w:t>По данным лабораторного мониторинга за 12 неделю 2024 года обследовано 140 человек. Определено 3 вируса гриппа В. Также определялись вирусы не гриппозной этиологии: парагрипп – 8, аденовирус – 5, РС-вирус – 20, метапневмовирус – 10, сезонный коронавирус – 5, риновирус – 10, бокавирус — 1.</w:t>
      </w:r>
    </w:p>
    <w:p>
      <w:pPr>
        <w:pStyle w:val="Style38"/>
        <w:spacing w:before="0" w:after="0"/>
        <w:rPr>
          <w:color w:val="auto"/>
        </w:rPr>
      </w:pPr>
      <w:r>
        <w:rPr>
          <w:color w:val="auto"/>
          <w:sz w:val="24"/>
          <w:szCs w:val="24"/>
        </w:rPr>
        <w:t>За прошедшую 12 неделю 2024 года учебно-воспитательный процесс не приостанавливался.</w:t>
      </w:r>
    </w:p>
    <w:p>
      <w:pPr>
        <w:pStyle w:val="Style38"/>
        <w:spacing w:before="57" w:after="0"/>
        <w:rPr>
          <w:color w:val="auto"/>
        </w:rPr>
      </w:pPr>
      <w:r>
        <w:rPr>
          <w:color w:val="auto"/>
          <w:sz w:val="24"/>
          <w:szCs w:val="24"/>
        </w:rPr>
        <w:t>За период с начала текущего года по 03.04.2024 года в медицинские организации Смоленской области обратились 8 пострадавших от присасывания клещей, что на 11,2% меньше, чем за аналогичный период прошлого года. За последнюю неделю наблюдения — с 28.03.2024 г. по 03.04.2024 г. - число обращений по поводу присасывания клещей за медицинской помощью составило 7, в том числе 3 ребёнка, в сравнении с предыдущей неделей количество пострадавших уменьшилось на 12,5% среди всех обратившихся и на 66,7% увеличилось среди детей.</w:t>
      </w:r>
    </w:p>
    <w:p>
      <w:pPr>
        <w:pStyle w:val="Style38"/>
        <w:spacing w:before="0" w:after="0"/>
        <w:rPr>
          <w:color w:val="auto"/>
        </w:rPr>
      </w:pPr>
      <w:r>
        <w:rPr>
          <w:color w:val="auto"/>
          <w:sz w:val="24"/>
          <w:szCs w:val="24"/>
        </w:rPr>
        <w:t>В лаборатории ФБУЗ «Центр гигиены и эпидемиологии в Смоленской области» с начала текущего года исследовано 4 клеща, снятых с людей, возбудителей инфекций, передающихся иксодовыми клещами (клещевого вирусного энцефалита, иксодового клещевого боррелиоза, гранулоцитарного анаплазмоза человека и моноцитарного эрлихиоза человека) не обнаружено.</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n" w:ascii="Liberation Serif;Times New Roman" w:hAnsi="Liberation Serif;Times New Roman"/>
          <w:color w:val="auto"/>
          <w:sz w:val="24"/>
          <w:szCs w:val="24"/>
        </w:rPr>
        <w:t>0,</w:t>
      </w:r>
      <w:r>
        <w:rPr>
          <w:rFonts w:cs="Liberation Serif;Times New Roman" w:ascii="Liberation Serif;Times New Roman" w:hAnsi="Liberation Serif;Times New Roman"/>
          <w:color w:val="auto"/>
          <w:sz w:val="24"/>
          <w:szCs w:val="24"/>
        </w:rPr>
        <w:t>10</w:t>
      </w:r>
      <w:r>
        <w:rPr>
          <w:rFonts w:cs="Liberation Serif;Times New Roman" w:ascii="Liberation Serif;Times New Roman" w:hAnsi="Liberation Serif;Times New Roman"/>
          <w:color w:val="auto"/>
          <w:sz w:val="24"/>
          <w:szCs w:val="24"/>
        </w:rPr>
        <w:t xml:space="preserve"> - 0,1</w:t>
      </w:r>
      <w:r>
        <w:rPr>
          <w:rFonts w:cs="Liberation Serif;Times New Roman" w:ascii="Liberation Serif;Times New Roman" w:hAnsi="Liberation Serif;Times New Roman"/>
          <w:color w:val="auto"/>
          <w:sz w:val="24"/>
          <w:szCs w:val="24"/>
        </w:rPr>
        <w:t>5</w:t>
      </w:r>
      <w:r>
        <w:rPr>
          <w:rFonts w:cs="Liberation Serif;Times New Roman" w:ascii="Liberation Serif;Times New Roman" w:hAnsi="Liberation Serif;Times New Roman"/>
          <w:color w:val="auto"/>
          <w:sz w:val="24"/>
          <w:szCs w:val="24"/>
        </w:rPr>
        <w:t xml:space="preserve"> (в Смоленске 0,10)</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+8°C.</w:t>
      </w:r>
    </w:p>
    <w:p>
      <w:pPr>
        <w:pStyle w:val="Normal"/>
        <w:tabs>
          <w:tab w:val="clear" w:pos="8520"/>
          <w:tab w:val="center" w:pos="142" w:leader="none"/>
        </w:tabs>
        <w:spacing w:before="57" w:after="0"/>
        <w:ind w:hanging="0"/>
        <w:jc w:val="center"/>
        <w:rPr/>
      </w:pPr>
      <w:r>
        <w:rPr>
          <w:rFonts w:ascii="Liberation Serif" w:hAnsi="Liberation Serif"/>
          <w:b/>
          <w:sz w:val="24"/>
          <w:szCs w:val="24"/>
        </w:rPr>
        <w:t>Данные по уровням воды на реках и ГТС Смоленской области по состоянию на 12.04.2024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277"/>
        <w:gridCol w:w="1061"/>
        <w:gridCol w:w="1178"/>
        <w:gridCol w:w="1250"/>
        <w:gridCol w:w="1326"/>
        <w:gridCol w:w="1807"/>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27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23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57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80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27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5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80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lang w:bidi="en-US"/>
              </w:rPr>
            </w:pPr>
            <w:r>
              <w:rPr>
                <w:rFonts w:ascii="Liberation Serif" w:hAnsi="Liberation Serif"/>
                <w:b/>
                <w:lang w:bidi="en-US"/>
              </w:rPr>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Болшево</w:t>
            </w:r>
          </w:p>
          <w:p>
            <w:pPr>
              <w:pStyle w:val="Normal"/>
              <w:widowControl w:val="false"/>
              <w:ind w:hanging="0"/>
              <w:jc w:val="center"/>
              <w:rPr>
                <w:sz w:val="20"/>
                <w:szCs w:val="20"/>
              </w:rPr>
            </w:pPr>
            <w:r>
              <w:rPr>
                <w:rFonts w:ascii="Liberation Serif" w:hAnsi="Liberation Serif"/>
                <w:sz w:val="20"/>
                <w:szCs w:val="20"/>
              </w:rPr>
              <w:t>(Новодугинский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360</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400</w:t>
            </w:r>
          </w:p>
        </w:tc>
        <w:tc>
          <w:tcPr>
            <w:tcW w:w="125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sz w:val="22"/>
                <w:szCs w:val="22"/>
              </w:rPr>
            </w:pPr>
            <w:r>
              <w:rPr>
                <w:rFonts w:ascii="Liberation Serif" w:hAnsi="Liberation Serif"/>
                <w:color w:val="000000"/>
                <w:sz w:val="22"/>
                <w:szCs w:val="22"/>
              </w:rPr>
              <w:t>130</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sz w:val="22"/>
                <w:szCs w:val="22"/>
              </w:rPr>
            </w:pPr>
            <w:r>
              <w:rPr>
                <w:rFonts w:ascii="Liberation Serif" w:hAnsi="Liberation Serif"/>
                <w:sz w:val="22"/>
                <w:szCs w:val="22"/>
              </w:rPr>
              <w:t>-12</w:t>
            </w:r>
          </w:p>
        </w:tc>
        <w:tc>
          <w:tcPr>
            <w:tcW w:w="180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sz w:val="22"/>
                <w:szCs w:val="22"/>
              </w:rPr>
            </w:pPr>
            <w:r>
              <w:rPr>
                <w:rFonts w:ascii="Times New Roman" w:hAnsi="Times New Roman"/>
                <w:b/>
                <w:sz w:val="22"/>
                <w:szCs w:val="22"/>
              </w:rPr>
              <w:t>230</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Дорогобуж</w:t>
            </w:r>
          </w:p>
          <w:p>
            <w:pPr>
              <w:pStyle w:val="Normal"/>
              <w:widowControl w:val="false"/>
              <w:ind w:hanging="0"/>
              <w:jc w:val="center"/>
              <w:textAlignment w:val="center"/>
              <w:rPr>
                <w:sz w:val="20"/>
                <w:szCs w:val="20"/>
              </w:rPr>
            </w:pPr>
            <w:r>
              <w:rPr>
                <w:rFonts w:ascii="Liberation Serif" w:hAnsi="Liberation Serif"/>
                <w:color w:val="000000"/>
                <w:sz w:val="20"/>
                <w:szCs w:val="20"/>
              </w:rPr>
              <w:t>(Дорогобужский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585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650</w:t>
            </w:r>
          </w:p>
        </w:tc>
        <w:tc>
          <w:tcPr>
            <w:tcW w:w="1250"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sz w:val="22"/>
                <w:szCs w:val="22"/>
              </w:rPr>
            </w:pPr>
            <w:r>
              <w:rPr>
                <w:rFonts w:ascii="Liberation Serif" w:hAnsi="Liberation Serif"/>
                <w:color w:val="000000"/>
                <w:sz w:val="22"/>
                <w:szCs w:val="22"/>
              </w:rPr>
              <w:t>479</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sz w:val="22"/>
                <w:szCs w:val="22"/>
              </w:rPr>
            </w:pPr>
            <w:r>
              <w:rPr>
                <w:rFonts w:ascii="Liberation Serif" w:hAnsi="Liberation Serif"/>
                <w:sz w:val="22"/>
                <w:szCs w:val="22"/>
              </w:rPr>
              <w:t>-10</w:t>
            </w:r>
          </w:p>
        </w:tc>
        <w:tc>
          <w:tcPr>
            <w:tcW w:w="180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sz w:val="22"/>
                <w:szCs w:val="22"/>
              </w:rPr>
            </w:pPr>
            <w:r>
              <w:rPr>
                <w:rFonts w:ascii="Times New Roman" w:hAnsi="Times New Roman"/>
                <w:b/>
                <w:sz w:val="22"/>
                <w:szCs w:val="22"/>
              </w:rPr>
              <w:t>106</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Соловьево</w:t>
            </w:r>
          </w:p>
          <w:p>
            <w:pPr>
              <w:pStyle w:val="Normal"/>
              <w:widowControl w:val="false"/>
              <w:ind w:hanging="0"/>
              <w:jc w:val="center"/>
              <w:textAlignment w:val="center"/>
              <w:rPr>
                <w:sz w:val="20"/>
                <w:szCs w:val="20"/>
              </w:rPr>
            </w:pPr>
            <w:r>
              <w:rPr>
                <w:rFonts w:ascii="Liberation Serif" w:hAnsi="Liberation Serif"/>
                <w:color w:val="000000"/>
                <w:sz w:val="20"/>
                <w:szCs w:val="20"/>
              </w:rPr>
              <w:t>(Кардымовский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761</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845</w:t>
            </w:r>
          </w:p>
        </w:tc>
        <w:tc>
          <w:tcPr>
            <w:tcW w:w="1250"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sz w:val="22"/>
                <w:szCs w:val="22"/>
              </w:rPr>
            </w:pPr>
            <w:r>
              <w:rPr>
                <w:rFonts w:ascii="Liberation Serif" w:hAnsi="Liberation Serif"/>
                <w:color w:val="000000"/>
                <w:sz w:val="22"/>
                <w:szCs w:val="22"/>
              </w:rPr>
              <w:t>626</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sz w:val="22"/>
                <w:szCs w:val="22"/>
              </w:rPr>
            </w:pPr>
            <w:r>
              <w:rPr>
                <w:rFonts w:ascii="Liberation Serif" w:hAnsi="Liberation Serif"/>
                <w:sz w:val="22"/>
                <w:szCs w:val="22"/>
              </w:rPr>
              <w:t>-11</w:t>
            </w:r>
          </w:p>
        </w:tc>
        <w:tc>
          <w:tcPr>
            <w:tcW w:w="180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sz w:val="22"/>
                <w:szCs w:val="22"/>
              </w:rPr>
            </w:pPr>
            <w:r>
              <w:rPr>
                <w:rFonts w:ascii="Times New Roman" w:hAnsi="Times New Roman"/>
                <w:b/>
                <w:sz w:val="22"/>
                <w:szCs w:val="22"/>
              </w:rPr>
              <w:t>135</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Смоленск</w:t>
            </w:r>
          </w:p>
          <w:p>
            <w:pPr>
              <w:pStyle w:val="Normal"/>
              <w:widowControl w:val="false"/>
              <w:ind w:hanging="0"/>
              <w:jc w:val="center"/>
              <w:textAlignment w:val="center"/>
              <w:rPr>
                <w:sz w:val="20"/>
                <w:szCs w:val="20"/>
              </w:rPr>
            </w:pPr>
            <w:r>
              <w:rPr>
                <w:rFonts w:ascii="Liberation Serif" w:hAnsi="Liberation Serif"/>
                <w:color w:val="000000"/>
                <w:sz w:val="20"/>
                <w:szCs w:val="20"/>
              </w:rPr>
              <w:t>(г. Смоленск)</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630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700</w:t>
            </w:r>
          </w:p>
        </w:tc>
        <w:tc>
          <w:tcPr>
            <w:tcW w:w="1250"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sz w:val="22"/>
                <w:szCs w:val="22"/>
              </w:rPr>
            </w:pPr>
            <w:r>
              <w:rPr>
                <w:rFonts w:ascii="Liberation Serif" w:hAnsi="Liberation Serif"/>
                <w:color w:val="000000"/>
                <w:sz w:val="22"/>
                <w:szCs w:val="22"/>
              </w:rPr>
              <w:t>596</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sz w:val="22"/>
                <w:szCs w:val="22"/>
              </w:rPr>
            </w:pPr>
            <w:r>
              <w:rPr>
                <w:rFonts w:ascii="Liberation Serif" w:hAnsi="Liberation Serif"/>
                <w:sz w:val="22"/>
                <w:szCs w:val="22"/>
              </w:rPr>
              <w:t>+5</w:t>
            </w:r>
          </w:p>
        </w:tc>
        <w:tc>
          <w:tcPr>
            <w:tcW w:w="180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sz w:val="22"/>
                <w:szCs w:val="22"/>
              </w:rPr>
            </w:pPr>
            <w:r>
              <w:rPr>
                <w:rFonts w:ascii="Times New Roman" w:hAnsi="Times New Roman"/>
                <w:b/>
                <w:sz w:val="22"/>
                <w:szCs w:val="22"/>
              </w:rPr>
              <w:t>34</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Вязьма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Старая деревня</w:t>
            </w:r>
          </w:p>
          <w:p>
            <w:pPr>
              <w:pStyle w:val="Normal"/>
              <w:widowControl w:val="false"/>
              <w:ind w:hanging="0"/>
              <w:jc w:val="center"/>
              <w:textAlignment w:val="center"/>
              <w:rPr>
                <w:sz w:val="20"/>
                <w:szCs w:val="20"/>
              </w:rPr>
            </w:pPr>
            <w:r>
              <w:rPr>
                <w:rFonts w:ascii="Liberation Serif" w:hAnsi="Liberation Serif"/>
                <w:color w:val="000000"/>
                <w:sz w:val="20"/>
                <w:szCs w:val="20"/>
              </w:rPr>
              <w:t>(Вяземский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342</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380</w:t>
            </w:r>
          </w:p>
        </w:tc>
        <w:tc>
          <w:tcPr>
            <w:tcW w:w="1250"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sz w:val="22"/>
                <w:szCs w:val="22"/>
              </w:rPr>
            </w:pPr>
            <w:r>
              <w:rPr>
                <w:rFonts w:ascii="Liberation Serif" w:hAnsi="Liberation Serif"/>
                <w:color w:val="000000"/>
                <w:sz w:val="22"/>
                <w:szCs w:val="22"/>
              </w:rPr>
              <w:t>133</w:t>
            </w:r>
          </w:p>
        </w:tc>
        <w:tc>
          <w:tcPr>
            <w:tcW w:w="132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sz w:val="22"/>
                <w:szCs w:val="22"/>
              </w:rPr>
            </w:pPr>
            <w:r>
              <w:rPr>
                <w:rFonts w:ascii="Liberation Serif" w:hAnsi="Liberation Serif"/>
                <w:sz w:val="22"/>
                <w:szCs w:val="22"/>
              </w:rPr>
              <w:t>-8</w:t>
            </w:r>
          </w:p>
        </w:tc>
        <w:tc>
          <w:tcPr>
            <w:tcW w:w="1807"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sz w:val="22"/>
                <w:szCs w:val="22"/>
              </w:rPr>
            </w:pPr>
            <w:r>
              <w:rPr>
                <w:rFonts w:ascii="Times New Roman" w:hAnsi="Times New Roman"/>
                <w:b/>
                <w:sz w:val="22"/>
                <w:szCs w:val="22"/>
              </w:rPr>
              <w:t>209</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Вопь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Капыревщина</w:t>
            </w:r>
          </w:p>
          <w:p>
            <w:pPr>
              <w:pStyle w:val="Normal"/>
              <w:widowControl w:val="false"/>
              <w:ind w:hanging="0"/>
              <w:jc w:val="center"/>
              <w:textAlignment w:val="center"/>
              <w:rPr>
                <w:sz w:val="20"/>
                <w:szCs w:val="20"/>
              </w:rPr>
            </w:pPr>
            <w:r>
              <w:rPr>
                <w:rFonts w:ascii="Liberation Serif" w:hAnsi="Liberation Serif"/>
                <w:color w:val="000000"/>
                <w:sz w:val="20"/>
                <w:szCs w:val="20"/>
              </w:rPr>
              <w:t>(Ярцевский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675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750</w:t>
            </w:r>
          </w:p>
        </w:tc>
        <w:tc>
          <w:tcPr>
            <w:tcW w:w="1250"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sz w:val="22"/>
                <w:szCs w:val="22"/>
              </w:rPr>
            </w:pPr>
            <w:r>
              <w:rPr>
                <w:rFonts w:ascii="Liberation Serif" w:hAnsi="Liberation Serif"/>
                <w:color w:val="000000"/>
                <w:sz w:val="22"/>
                <w:szCs w:val="22"/>
              </w:rPr>
              <w:t>298</w:t>
            </w:r>
          </w:p>
        </w:tc>
        <w:tc>
          <w:tcPr>
            <w:tcW w:w="132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sz w:val="22"/>
                <w:szCs w:val="22"/>
              </w:rPr>
            </w:pPr>
            <w:r>
              <w:rPr>
                <w:rFonts w:ascii="Liberation Serif" w:hAnsi="Liberation Serif"/>
                <w:sz w:val="22"/>
                <w:szCs w:val="22"/>
              </w:rPr>
              <w:t>-65</w:t>
            </w:r>
          </w:p>
        </w:tc>
        <w:tc>
          <w:tcPr>
            <w:tcW w:w="1807"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sz w:val="22"/>
                <w:szCs w:val="22"/>
              </w:rPr>
            </w:pPr>
            <w:r>
              <w:rPr>
                <w:rFonts w:ascii="Times New Roman" w:hAnsi="Times New Roman"/>
                <w:b/>
                <w:sz w:val="22"/>
                <w:szCs w:val="22"/>
              </w:rPr>
              <w:t>377</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Сож</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Ускосы</w:t>
            </w:r>
          </w:p>
          <w:p>
            <w:pPr>
              <w:pStyle w:val="Normal"/>
              <w:widowControl w:val="false"/>
              <w:ind w:hanging="0"/>
              <w:jc w:val="center"/>
              <w:textAlignment w:val="center"/>
              <w:rPr>
                <w:sz w:val="20"/>
                <w:szCs w:val="20"/>
              </w:rPr>
            </w:pPr>
            <w:r>
              <w:rPr>
                <w:rFonts w:ascii="Liberation Serif" w:hAnsi="Liberation Serif"/>
                <w:color w:val="000000"/>
                <w:sz w:val="20"/>
                <w:szCs w:val="20"/>
              </w:rPr>
              <w:t>(Хиславичский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sz w:val="22"/>
                <w:szCs w:val="22"/>
              </w:rPr>
            </w:pPr>
            <w:r>
              <w:rPr>
                <w:rFonts w:ascii="Liberation Serif" w:hAnsi="Liberation Serif"/>
                <w:color w:val="000000"/>
                <w:sz w:val="22"/>
                <w:szCs w:val="22"/>
              </w:rPr>
              <w:t>73</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sz w:val="22"/>
                <w:szCs w:val="22"/>
              </w:rPr>
            </w:pPr>
            <w:r>
              <w:rPr>
                <w:rFonts w:ascii="Liberation Serif" w:hAnsi="Liberation Serif"/>
                <w:sz w:val="22"/>
                <w:szCs w:val="22"/>
              </w:rPr>
              <w:t>-9</w:t>
            </w:r>
          </w:p>
        </w:tc>
        <w:tc>
          <w:tcPr>
            <w:tcW w:w="180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sz w:val="22"/>
                <w:szCs w:val="22"/>
              </w:rPr>
            </w:pPr>
            <w:r>
              <w:rPr>
                <w:rFonts w:ascii="Times New Roman" w:hAnsi="Times New Roman"/>
                <w:b/>
                <w:sz w:val="22"/>
                <w:szCs w:val="22"/>
              </w:rPr>
              <w:t>332</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Хмара</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Красиловка</w:t>
            </w:r>
          </w:p>
          <w:p>
            <w:pPr>
              <w:pStyle w:val="Normal"/>
              <w:widowControl w:val="false"/>
              <w:ind w:hanging="0"/>
              <w:jc w:val="center"/>
              <w:textAlignment w:val="center"/>
              <w:rPr>
                <w:sz w:val="20"/>
                <w:szCs w:val="20"/>
              </w:rPr>
            </w:pPr>
            <w:r>
              <w:rPr>
                <w:rFonts w:ascii="Liberation Serif" w:hAnsi="Liberation Serif"/>
                <w:color w:val="000000"/>
                <w:sz w:val="20"/>
                <w:szCs w:val="20"/>
              </w:rPr>
              <w:t>(Починковский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sz w:val="22"/>
                <w:szCs w:val="22"/>
              </w:rPr>
            </w:pPr>
            <w:r>
              <w:rPr>
                <w:rFonts w:ascii="Liberation Serif" w:hAnsi="Liberation Serif"/>
                <w:color w:val="000000"/>
                <w:sz w:val="22"/>
                <w:szCs w:val="22"/>
              </w:rPr>
              <w:t>128</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sz w:val="22"/>
                <w:szCs w:val="22"/>
              </w:rPr>
            </w:pPr>
            <w:r>
              <w:rPr>
                <w:rFonts w:ascii="Liberation Serif" w:hAnsi="Liberation Serif"/>
                <w:sz w:val="22"/>
                <w:szCs w:val="22"/>
              </w:rPr>
              <w:t>-9</w:t>
            </w:r>
          </w:p>
        </w:tc>
        <w:tc>
          <w:tcPr>
            <w:tcW w:w="180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sz w:val="22"/>
                <w:szCs w:val="22"/>
              </w:rPr>
            </w:pPr>
            <w:r>
              <w:rPr>
                <w:rFonts w:ascii="Times New Roman" w:hAnsi="Times New Roman"/>
                <w:b/>
                <w:sz w:val="22"/>
                <w:szCs w:val="22"/>
              </w:rPr>
              <w:t>277</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Зап. Двина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Велиж</w:t>
            </w:r>
          </w:p>
          <w:p>
            <w:pPr>
              <w:pStyle w:val="Normal"/>
              <w:widowControl w:val="false"/>
              <w:ind w:hanging="0"/>
              <w:jc w:val="center"/>
              <w:textAlignment w:val="center"/>
              <w:rPr>
                <w:sz w:val="20"/>
                <w:szCs w:val="20"/>
              </w:rPr>
            </w:pPr>
            <w:r>
              <w:rPr>
                <w:rFonts w:ascii="Liberation Serif" w:hAnsi="Liberation Serif"/>
                <w:color w:val="000000"/>
                <w:sz w:val="20"/>
                <w:szCs w:val="20"/>
              </w:rPr>
              <w:t>(Велижский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990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1100</w:t>
            </w:r>
          </w:p>
        </w:tc>
        <w:tc>
          <w:tcPr>
            <w:tcW w:w="1250"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sz w:val="22"/>
                <w:szCs w:val="22"/>
              </w:rPr>
            </w:pPr>
            <w:r>
              <w:rPr>
                <w:rFonts w:ascii="Liberation Serif" w:hAnsi="Liberation Serif"/>
                <w:color w:val="000000"/>
                <w:sz w:val="22"/>
                <w:szCs w:val="22"/>
              </w:rPr>
              <w:t>400</w:t>
            </w:r>
          </w:p>
        </w:tc>
        <w:tc>
          <w:tcPr>
            <w:tcW w:w="132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sz w:val="22"/>
                <w:szCs w:val="22"/>
              </w:rPr>
            </w:pPr>
            <w:r>
              <w:rPr>
                <w:rFonts w:ascii="Liberation Serif" w:hAnsi="Liberation Serif"/>
                <w:sz w:val="22"/>
                <w:szCs w:val="22"/>
              </w:rPr>
              <w:t>-10</w:t>
            </w:r>
          </w:p>
        </w:tc>
        <w:tc>
          <w:tcPr>
            <w:tcW w:w="1807"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sz w:val="22"/>
                <w:szCs w:val="22"/>
              </w:rPr>
            </w:pPr>
            <w:r>
              <w:rPr>
                <w:rFonts w:ascii="Times New Roman" w:hAnsi="Times New Roman"/>
                <w:b/>
                <w:sz w:val="22"/>
                <w:szCs w:val="22"/>
              </w:rPr>
              <w:t>590</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Каспля</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Демидов</w:t>
            </w:r>
          </w:p>
          <w:p>
            <w:pPr>
              <w:pStyle w:val="Normal"/>
              <w:widowControl w:val="false"/>
              <w:ind w:hanging="0"/>
              <w:jc w:val="center"/>
              <w:textAlignment w:val="center"/>
              <w:rPr>
                <w:sz w:val="20"/>
                <w:szCs w:val="20"/>
              </w:rPr>
            </w:pPr>
            <w:r>
              <w:rPr>
                <w:rFonts w:ascii="Liberation Serif" w:hAnsi="Liberation Serif"/>
                <w:color w:val="000000"/>
                <w:sz w:val="20"/>
                <w:szCs w:val="20"/>
              </w:rPr>
              <w:t>(Демидовский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738</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820</w:t>
            </w:r>
          </w:p>
        </w:tc>
        <w:tc>
          <w:tcPr>
            <w:tcW w:w="1250"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sz w:val="22"/>
                <w:szCs w:val="22"/>
              </w:rPr>
            </w:pPr>
            <w:r>
              <w:rPr>
                <w:rFonts w:ascii="Liberation Serif" w:hAnsi="Liberation Serif"/>
                <w:color w:val="000000"/>
                <w:sz w:val="22"/>
                <w:szCs w:val="22"/>
              </w:rPr>
              <w:t>107</w:t>
            </w:r>
          </w:p>
        </w:tc>
        <w:tc>
          <w:tcPr>
            <w:tcW w:w="13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sz w:val="22"/>
                <w:szCs w:val="22"/>
              </w:rPr>
            </w:pPr>
            <w:r>
              <w:rPr>
                <w:rFonts w:ascii="Liberation Serif" w:hAnsi="Liberation Serif"/>
                <w:sz w:val="22"/>
                <w:szCs w:val="22"/>
              </w:rPr>
              <w:t>-11</w:t>
            </w:r>
          </w:p>
        </w:tc>
        <w:tc>
          <w:tcPr>
            <w:tcW w:w="180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sz w:val="22"/>
                <w:szCs w:val="22"/>
              </w:rPr>
            </w:pPr>
            <w:r>
              <w:rPr>
                <w:rFonts w:ascii="Times New Roman" w:hAnsi="Times New Roman"/>
                <w:b/>
                <w:sz w:val="22"/>
                <w:szCs w:val="22"/>
              </w:rPr>
              <w:t>631</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Гжать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Гагарин</w:t>
            </w:r>
          </w:p>
          <w:p>
            <w:pPr>
              <w:pStyle w:val="Normal"/>
              <w:widowControl w:val="false"/>
              <w:ind w:hanging="0"/>
              <w:jc w:val="center"/>
              <w:textAlignment w:val="center"/>
              <w:rPr>
                <w:sz w:val="20"/>
                <w:szCs w:val="20"/>
              </w:rPr>
            </w:pPr>
            <w:r>
              <w:rPr>
                <w:rFonts w:ascii="Liberation Serif" w:hAnsi="Liberation Serif"/>
                <w:color w:val="000000"/>
                <w:sz w:val="20"/>
                <w:szCs w:val="20"/>
              </w:rPr>
              <w:t>(Гагаринский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eastAsia="Noto Sans OldSouArab" w:cs="Noto Sans OldSouArab" w:ascii="Liberation Serif" w:hAnsi="Liberation Serif"/>
                <w:color w:val="000000"/>
                <w:sz w:val="22"/>
                <w:szCs w:val="22"/>
              </w:rPr>
              <w:t>―</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390</w:t>
            </w:r>
          </w:p>
        </w:tc>
        <w:tc>
          <w:tcPr>
            <w:tcW w:w="1250"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sz w:val="22"/>
                <w:szCs w:val="22"/>
              </w:rPr>
            </w:pPr>
            <w:r>
              <w:rPr>
                <w:rFonts w:ascii="Liberation Serif" w:hAnsi="Liberation Serif"/>
                <w:color w:val="000000"/>
                <w:sz w:val="22"/>
                <w:szCs w:val="22"/>
              </w:rPr>
              <w:t>79</w:t>
            </w:r>
          </w:p>
        </w:tc>
        <w:tc>
          <w:tcPr>
            <w:tcW w:w="132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sz w:val="22"/>
                <w:szCs w:val="22"/>
              </w:rPr>
            </w:pPr>
            <w:r>
              <w:rPr>
                <w:rFonts w:ascii="Liberation Serif" w:hAnsi="Liberation Serif"/>
                <w:sz w:val="22"/>
                <w:szCs w:val="22"/>
              </w:rPr>
              <w:t>-12</w:t>
            </w:r>
          </w:p>
        </w:tc>
        <w:tc>
          <w:tcPr>
            <w:tcW w:w="1807"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sz w:val="22"/>
                <w:szCs w:val="22"/>
              </w:rPr>
            </w:pPr>
            <w:r>
              <w:rPr>
                <w:rFonts w:ascii="Times New Roman" w:hAnsi="Times New Roman"/>
                <w:b/>
                <w:sz w:val="22"/>
                <w:szCs w:val="22"/>
              </w:rPr>
              <w:t>311</w:t>
            </w:r>
          </w:p>
        </w:tc>
      </w:tr>
    </w:tbl>
    <w:p>
      <w:pPr>
        <w:pStyle w:val="Normal"/>
        <w:spacing w:before="57" w:after="0"/>
        <w:ind w:hanging="0"/>
        <w:jc w:val="center"/>
        <w:rPr/>
      </w:pPr>
      <w:r>
        <w:rPr>
          <w:b/>
          <w:sz w:val="24"/>
          <w:szCs w:val="24"/>
        </w:rPr>
        <w:t>УРОВНИ ВОДЫ</w:t>
      </w:r>
    </w:p>
    <w:p>
      <w:pPr>
        <w:pStyle w:val="Normal"/>
        <w:ind w:hanging="0"/>
        <w:jc w:val="center"/>
        <w:rPr>
          <w:sz w:val="24"/>
          <w:szCs w:val="24"/>
        </w:rPr>
      </w:pPr>
      <w:r>
        <w:rPr>
          <w:b/>
          <w:bCs/>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2"/>
        <w:gridCol w:w="1666"/>
        <w:gridCol w:w="1591"/>
        <w:gridCol w:w="1365"/>
        <w:gridCol w:w="2234"/>
      </w:tblGrid>
      <w:tr>
        <w:trPr>
          <w:trHeight w:val="340"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hanging="0"/>
              <w:jc w:val="center"/>
              <w:rPr>
                <w:sz w:val="24"/>
                <w:szCs w:val="24"/>
              </w:rPr>
            </w:pPr>
            <w:r>
              <w:rPr>
                <w:b/>
                <w:sz w:val="24"/>
                <w:szCs w:val="24"/>
              </w:rPr>
              <w:t>Десногорская ГЭС (ФПУ - 199,9 м, НПУ – 199,0 м, УМО – 196,0 м)</w:t>
            </w:r>
          </w:p>
        </w:tc>
      </w:tr>
      <w:tr>
        <w:trPr>
          <w:trHeight w:val="850"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Дата</w:t>
            </w:r>
          </w:p>
        </w:tc>
        <w:tc>
          <w:tcPr>
            <w:tcW w:w="1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Приток, м3/с</w:t>
            </w:r>
          </w:p>
        </w:tc>
        <w:tc>
          <w:tcPr>
            <w:tcW w:w="159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Наполняемость, %</w:t>
            </w:r>
          </w:p>
          <w:p>
            <w:pPr>
              <w:pStyle w:val="Normal"/>
              <w:widowControl w:val="false"/>
              <w:ind w:hanging="0"/>
              <w:jc w:val="center"/>
              <w:rPr>
                <w:sz w:val="24"/>
                <w:szCs w:val="24"/>
              </w:rPr>
            </w:pPr>
            <w:r>
              <w:rPr>
                <w:b/>
                <w:bCs/>
                <w:sz w:val="24"/>
                <w:szCs w:val="24"/>
              </w:rPr>
              <w:t>(198,5 — 100%)</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11.04.2024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198,24 (+0,01)</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7 (-8,8)</w:t>
            </w:r>
          </w:p>
        </w:tc>
        <w:tc>
          <w:tcPr>
            <w:tcW w:w="1591"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99,87</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12.04.2024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198,27 (+0,03)</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11 (+4,0)</w:t>
            </w:r>
          </w:p>
        </w:tc>
        <w:tc>
          <w:tcPr>
            <w:tcW w:w="1591"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themeColor="text1"/>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themeColor="text1"/>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99,88</w:t>
            </w:r>
          </w:p>
        </w:tc>
      </w:tr>
    </w:tbl>
    <w:p>
      <w:pPr>
        <w:pStyle w:val="Normal"/>
        <w:spacing w:before="113" w:after="0"/>
        <w:rPr>
          <w:color w:val="auto"/>
        </w:rPr>
      </w:pPr>
      <w:r>
        <w:rPr>
          <w:b/>
          <w:bCs/>
          <w:color w:val="auto"/>
          <w:sz w:val="24"/>
          <w:szCs w:val="24"/>
        </w:rPr>
        <w:t>1.5. Лесопожарная обстановка.</w:t>
      </w:r>
    </w:p>
    <w:p>
      <w:pPr>
        <w:pStyle w:val="Normal"/>
        <w:tabs>
          <w:tab w:val="clear" w:pos="8520"/>
          <w:tab w:val="left" w:pos="5175" w:leader="none"/>
        </w:tabs>
        <w:rPr>
          <w:color w:val="C9211E"/>
        </w:rPr>
      </w:pPr>
      <w:r>
        <w:rPr>
          <w:b/>
          <w:bCs/>
          <w:color w:val="auto"/>
          <w:sz w:val="24"/>
          <w:szCs w:val="24"/>
        </w:rPr>
        <w:t>По данным Смоленского ЦГМС – филиала ФГБУ «Центральное УГМС»</w:t>
      </w:r>
      <w:r>
        <w:rPr>
          <w:color w:val="auto"/>
          <w:sz w:val="24"/>
          <w:szCs w:val="24"/>
        </w:rPr>
        <w:t xml:space="preserve"> и </w:t>
      </w:r>
      <w:r>
        <w:rPr>
          <w:b/>
          <w:bCs/>
          <w:color w:val="auto"/>
          <w:sz w:val="24"/>
          <w:szCs w:val="24"/>
        </w:rPr>
        <w:t>ФГБУ «Гидрометцентр России»</w:t>
      </w:r>
      <w:r>
        <w:rPr>
          <w:color w:val="auto"/>
          <w:sz w:val="24"/>
          <w:szCs w:val="24"/>
        </w:rPr>
        <w:t xml:space="preserve"> по погодным условиям наблюдается: </w:t>
      </w:r>
      <w:r>
        <w:rPr>
          <w:rFonts w:cs="Times New Roman"/>
          <w:b w:val="false"/>
          <w:bCs w:val="false"/>
          <w:color w:val="auto"/>
          <w:sz w:val="24"/>
          <w:szCs w:val="24"/>
        </w:rPr>
        <w:t xml:space="preserve">на территории 3-х муниципальных образований (Гагаринский, Сычевский, Новодугинский районы) — </w:t>
      </w:r>
      <w:r>
        <w:rPr>
          <w:rFonts w:cs="Times New Roman"/>
          <w:b/>
          <w:bCs/>
          <w:color w:val="auto"/>
          <w:sz w:val="24"/>
          <w:szCs w:val="24"/>
        </w:rPr>
        <w:t>2 (малая) класс пожарной опасности</w:t>
      </w:r>
      <w:r>
        <w:rPr>
          <w:rFonts w:cs="Times New Roman"/>
          <w:b w:val="false"/>
          <w:bCs w:val="false"/>
          <w:color w:val="auto"/>
          <w:sz w:val="24"/>
          <w:szCs w:val="24"/>
        </w:rPr>
        <w:t xml:space="preserve">, на остальной территории области (24 муниципальных образования) — </w:t>
      </w:r>
      <w:r>
        <w:rPr>
          <w:rFonts w:cs="Times New Roman"/>
          <w:b/>
          <w:bCs/>
          <w:color w:val="auto"/>
          <w:sz w:val="24"/>
          <w:szCs w:val="24"/>
        </w:rPr>
        <w:t>3 (средняя) класс пожарной опасности</w:t>
      </w:r>
      <w:r>
        <w:rPr>
          <w:rFonts w:cs="Times New Roman"/>
          <w:b w:val="false"/>
          <w:bCs w:val="false"/>
          <w:color w:val="auto"/>
          <w:sz w:val="24"/>
          <w:szCs w:val="24"/>
        </w:rPr>
        <w:t>.</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15</w:t>
      </w:r>
      <w:r>
        <w:rPr>
          <w:color w:val="auto"/>
          <w:sz w:val="24"/>
          <w:szCs w:val="24"/>
        </w:rPr>
        <w:t>…+2</w:t>
      </w:r>
      <w:r>
        <w:rPr>
          <w:color w:val="auto"/>
          <w:sz w:val="24"/>
          <w:szCs w:val="24"/>
        </w:rPr>
        <w:t>2</w:t>
      </w:r>
      <w:r>
        <w:rPr>
          <w:color w:val="auto"/>
          <w:sz w:val="24"/>
          <w:szCs w:val="24"/>
        </w:rPr>
        <w:t>°C. Дорожное покрытие сухое.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rPr>
          <w:color w:val="auto"/>
        </w:rPr>
      </w:pPr>
      <w:r>
        <w:rPr>
          <w:color w:val="auto"/>
          <w:sz w:val="24"/>
          <w:szCs w:val="24"/>
        </w:rPr>
        <w:t>За прошедшие сутки пожарно-спасательные подразделения к ликвидации пожаров привлекались 44 раз</w:t>
      </w:r>
      <w:bookmarkStart w:id="19" w:name="_GoBack"/>
      <w:bookmarkEnd w:id="19"/>
      <w:r>
        <w:rPr>
          <w:color w:val="auto"/>
          <w:sz w:val="24"/>
          <w:szCs w:val="24"/>
        </w:rPr>
        <w:t>, пострадавших нет. (АППГ 83/0).</w:t>
      </w:r>
    </w:p>
    <w:p>
      <w:pPr>
        <w:pStyle w:val="NormalWeb"/>
        <w:tabs>
          <w:tab w:val="clear" w:pos="8520"/>
          <w:tab w:val="left" w:pos="851" w:leader="none"/>
        </w:tabs>
        <w:spacing w:before="227" w:after="113"/>
        <w:ind w:firstLine="680"/>
        <w:jc w:val="center"/>
        <w:rPr/>
      </w:pPr>
      <w:r>
        <w:rPr>
          <w:b/>
          <w:bCs/>
          <w:color w:val="auto"/>
        </w:rPr>
        <w:t xml:space="preserve">II. </w:t>
      </w:r>
      <w:r>
        <w:rPr>
          <w:b/>
          <w:bCs/>
        </w:rPr>
        <w:t>Прогноз возникновения происшествий (ЧС)</w:t>
      </w:r>
    </w:p>
    <w:p>
      <w:pPr>
        <w:pStyle w:val="Normal"/>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rPr/>
      </w:pPr>
      <w:r>
        <w:rPr>
          <w:b/>
          <w:i/>
          <w:iCs/>
          <w:sz w:val="24"/>
          <w:szCs w:val="24"/>
        </w:rPr>
        <w:t>Неблагоприятные метеорологические явления:</w:t>
      </w:r>
      <w:r>
        <w:rPr>
          <w:i/>
          <w:iCs/>
          <w:sz w:val="24"/>
          <w:szCs w:val="24"/>
        </w:rPr>
        <w:t xml:space="preserve"> не прогнозируются.</w:t>
      </w:r>
    </w:p>
    <w:p>
      <w:pPr>
        <w:pStyle w:val="Normal"/>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ind w:firstLine="709"/>
        <w:rPr>
          <w:color w:val="auto"/>
        </w:rPr>
      </w:pPr>
      <w:r>
        <w:rPr>
          <w:rFonts w:eastAsia="Arial"/>
          <w:color w:val="auto"/>
          <w:sz w:val="24"/>
          <w:szCs w:val="24"/>
        </w:rPr>
        <w:t xml:space="preserve">-риск возникновения природных пожаров </w:t>
      </w:r>
      <w:r>
        <w:rPr>
          <w:rFonts w:eastAsia="Arial"/>
          <w:b/>
          <w:bCs/>
          <w:color w:val="auto"/>
          <w:sz w:val="24"/>
          <w:szCs w:val="24"/>
        </w:rPr>
        <w:t>(P=0,1)</w:t>
      </w:r>
      <w:r>
        <w:rPr>
          <w:rFonts w:eastAsia="Arial"/>
          <w:color w:val="auto"/>
          <w:sz w:val="24"/>
          <w:szCs w:val="24"/>
        </w:rPr>
        <w:t xml:space="preserve"> на территории области, вызванных неконтролируемыми палами сухой растительности и мусора, халатным отношением при разведении открытого огня в парковых зонах, лесных массивах</w:t>
      </w:r>
      <w:r>
        <w:rPr>
          <w:color w:val="auto"/>
          <w:sz w:val="24"/>
          <w:szCs w:val="24"/>
        </w:rPr>
        <w:t>. Риск прогнозируется на территории всей области.</w:t>
      </w:r>
    </w:p>
    <w:p>
      <w:pPr>
        <w:pStyle w:val="Normal"/>
        <w:spacing w:before="113" w:after="0"/>
        <w:rPr/>
      </w:pPr>
      <w:r>
        <w:rPr>
          <w:b/>
          <w:bCs/>
          <w:color w:val="auto"/>
          <w:sz w:val="24"/>
          <w:szCs w:val="24"/>
        </w:rPr>
        <w:t>2.2. Техногенные источники (</w:t>
      </w:r>
      <w:r>
        <w:rPr>
          <w:b/>
          <w:bCs/>
          <w:sz w:val="24"/>
          <w:szCs w:val="24"/>
        </w:rPr>
        <w:t>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неосторожным обращением с огнём, возникновением короткого замыкания при повышении нагрузки на электрическую сеть в результате неисправности электрооборудования и нарушения ПУЭ. С наибольшей вероятностью риск прогнозируется на территории г. Смоленска, г. Десногорска, Вяземского, Гагаринского, Демидовского, Дорогобужского, Духовщинского, Рославльского, Руднянского, Сафоновского, Смоленского, Угранского, Хиславичского,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(P=0,1),</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Риск прогнозируется на всей территории области;</w:t>
      </w:r>
    </w:p>
    <w:p>
      <w:pPr>
        <w:pStyle w:val="Normal"/>
        <w:tabs>
          <w:tab w:val="clear" w:pos="8520"/>
          <w:tab w:val="left" w:pos="851" w:leader="none"/>
        </w:tabs>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(Р=0,1),</w:t>
      </w:r>
      <w:r>
        <w:rPr>
          <w:rFonts w:eastAsia="Arial"/>
          <w:bCs/>
          <w:color w:val="auto"/>
          <w:sz w:val="24"/>
          <w:szCs w:val="24"/>
        </w:rPr>
        <w:t xml:space="preserve"> вызванный износом оборудования и коммуникаций</w:t>
      </w:r>
      <w:r>
        <w:rPr>
          <w:rFonts w:eastAsia="Arial"/>
          <w:color w:val="auto"/>
          <w:sz w:val="24"/>
          <w:szCs w:val="24"/>
        </w:rPr>
        <w:t xml:space="preserve">. </w:t>
      </w:r>
      <w:r>
        <w:rPr>
          <w:rFonts w:eastAsia="Arial"/>
          <w:bCs/>
          <w:color w:val="auto"/>
          <w:sz w:val="24"/>
          <w:szCs w:val="24"/>
        </w:rPr>
        <w:t>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pPr>
      <w:r>
        <w:rPr>
          <w:b/>
          <w:bCs/>
          <w:color w:val="000000"/>
          <w:sz w:val="24"/>
          <w:szCs w:val="24"/>
        </w:rPr>
        <w:t>2.3. Биолого-социальные источники чрезвычайных ситуаций.</w:t>
      </w:r>
    </w:p>
    <w:p>
      <w:pPr>
        <w:pStyle w:val="Normal"/>
        <w:rPr>
          <w:color w:val="auto"/>
        </w:rPr>
      </w:pPr>
      <w:r>
        <w:rPr>
          <w:bCs/>
          <w:color w:val="auto"/>
          <w:sz w:val="24"/>
          <w:szCs w:val="24"/>
        </w:rPr>
        <w:t>Прогнозируется вероятность рисков:</w:t>
      </w:r>
    </w:p>
    <w:p>
      <w:pPr>
        <w:pStyle w:val="Normal"/>
        <w:rPr>
          <w:color w:val="auto"/>
        </w:rPr>
      </w:pPr>
      <w:bookmarkStart w:id="20" w:name="__DdeLink__665_973288511"/>
      <w:bookmarkEnd w:id="20"/>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-заболевания клещевым энцефалитом </w:t>
      </w:r>
      <w:r>
        <w:rPr>
          <w:b/>
          <w:bCs/>
          <w:color w:val="auto"/>
          <w:sz w:val="24"/>
          <w:szCs w:val="24"/>
        </w:rPr>
        <w:t>(Р=0,1)</w:t>
      </w:r>
      <w:r>
        <w:rPr>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1" w:name="__DdeLink__730_16183935391"/>
      <w:bookmarkStart w:id="22" w:name="__DdeLink__572_2187294372"/>
      <w:bookmarkStart w:id="23" w:name="__DdeLink__634_4256138487"/>
      <w:bookmarkEnd w:id="21"/>
      <w:bookmarkEnd w:id="22"/>
      <w:bookmarkEnd w:id="23"/>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+8°C.</w:t>
      </w:r>
    </w:p>
    <w:p>
      <w:pPr>
        <w:pStyle w:val="Normal"/>
        <w:rPr>
          <w:color w:val="auto"/>
        </w:rPr>
      </w:pPr>
      <w:r>
        <w:rPr>
          <w:bCs/>
          <w:color w:val="auto"/>
          <w:sz w:val="24"/>
          <w:szCs w:val="24"/>
        </w:rPr>
        <w:t>Прогнозируется вероятность рисков:</w:t>
      </w:r>
    </w:p>
    <w:p>
      <w:pPr>
        <w:pStyle w:val="Normal"/>
        <w:rPr>
          <w:color w:val="auto"/>
        </w:rPr>
      </w:pPr>
      <w:r>
        <w:rPr>
          <w:bCs/>
          <w:color w:val="auto"/>
          <w:sz w:val="24"/>
          <w:szCs w:val="24"/>
        </w:rPr>
        <w:t>-подтопления приусадебных участков, участков автомобильных дорог, низководных мостов на предстоящие сутки не прогнозируются.</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4" w:name="OLE_LINK29"/>
      <w:bookmarkStart w:id="25" w:name="OLE_LINK30"/>
      <w:r>
        <w:rPr>
          <w:color w:val="auto"/>
          <w:sz w:val="24"/>
          <w:szCs w:val="24"/>
        </w:rPr>
        <w:t>ентра управления производством автодороги М-1 «Беларусь</w:t>
      </w:r>
      <w:bookmarkEnd w:id="24"/>
      <w:bookmarkEnd w:id="25"/>
      <w:r>
        <w:rPr>
          <w:color w:val="auto"/>
          <w:sz w:val="24"/>
          <w:szCs w:val="24"/>
        </w:rPr>
        <w:t xml:space="preserve">» прогнозируется </w:t>
      </w:r>
      <w:r>
        <w:rPr>
          <w:color w:val="auto"/>
          <w:sz w:val="24"/>
          <w:szCs w:val="24"/>
        </w:rPr>
        <w:t>о</w:t>
      </w:r>
      <w:r>
        <w:rPr>
          <w:color w:val="auto"/>
          <w:sz w:val="24"/>
          <w:szCs w:val="24"/>
        </w:rPr>
        <w:t>блачно с прояснениями</w:t>
      </w:r>
      <w:r>
        <w:rPr>
          <w:rFonts w:eastAsia="Arial"/>
          <w:color w:val="auto"/>
          <w:spacing w:val="2"/>
          <w:sz w:val="24"/>
          <w:szCs w:val="24"/>
        </w:rPr>
        <w:t>. Ночью без существенных осадков, днем кратковременные дожди.</w:t>
      </w:r>
    </w:p>
    <w:p>
      <w:pPr>
        <w:pStyle w:val="Normal"/>
        <w:rPr>
          <w:color w:val="auto"/>
        </w:rPr>
      </w:pPr>
      <w:r>
        <w:rPr>
          <w:color w:val="auto"/>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pPr>
      <w:r>
        <w:rPr>
          <w:b/>
          <w:bCs/>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 xml:space="preserve">-органам управления муниципальных образований всех уровней регулярно проводить первичные комплексы мероприятий по обеспечению безопасности людей на водных объектах, </w:t>
      </w:r>
      <w:r>
        <w:rPr>
          <w:color w:val="auto"/>
          <w:sz w:val="24"/>
          <w:szCs w:val="28"/>
        </w:rPr>
        <w:t>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w:t>
      </w:r>
      <w:r>
        <w:rPr>
          <w:color w:val="auto"/>
          <w:sz w:val="24"/>
          <w:szCs w:val="24"/>
        </w:rPr>
        <w:t xml:space="preserve">; </w:t>
      </w:r>
      <w:r>
        <w:rPr>
          <w:color w:val="auto"/>
          <w:sz w:val="24"/>
          <w:szCs w:val="28"/>
        </w:rPr>
        <w:t>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rPr/>
      </w:pPr>
      <w:bookmarkStart w:id="26" w:name="__DdeLink__574_4270567454"/>
      <w:bookmarkEnd w:id="26"/>
      <w:r>
        <w:rPr>
          <w:b/>
          <w:color w:val="auto"/>
          <w:sz w:val="24"/>
          <w:szCs w:val="24"/>
        </w:rPr>
        <w:t>Организация мероприя</w:t>
      </w:r>
      <w:r>
        <w:rPr>
          <w:b/>
          <w:sz w:val="24"/>
          <w:szCs w:val="24"/>
        </w:rPr>
        <w:t>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rPr>
          <w:color w:val="auto"/>
        </w:rPr>
      </w:pPr>
      <w:r>
        <w:rPr>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pPr>
      <w:r>
        <w:rPr>
          <w:b/>
          <w:bCs/>
          <w:color w:val="auto"/>
          <w:sz w:val="24"/>
          <w:szCs w:val="24"/>
        </w:rPr>
        <w:t xml:space="preserve">6. Средствам массовой информации Смоленской области </w:t>
      </w:r>
      <w:r>
        <w:rPr>
          <w:color w:val="auto"/>
          <w:sz w:val="24"/>
          <w:szCs w:val="24"/>
        </w:rPr>
        <w:t>вести ра</w:t>
      </w:r>
      <w:r>
        <w:rPr>
          <w:sz w:val="24"/>
          <w:szCs w:val="24"/>
        </w:rPr>
        <w:t>зъяснительную работу                     с населением:</w:t>
      </w:r>
    </w:p>
    <w:p>
      <w:pPr>
        <w:pStyle w:val="Normal"/>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 особенно в период неконтролируемых палов сухой травянистой растительности и неконтролируемых поджогов сухого мусора;</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 а также по причине неконтролируемых палов сухой травянистой растительности и неконтролируемых поджогов сухого мусора (в т.ч. на приусадебных участках);</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rPr>
          <w:color w:val="auto"/>
        </w:rPr>
      </w:pPr>
      <w:r>
        <w:rPr>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 что может привести к возникновению природных пожаров;</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pPr>
      <w:r>
        <w:rPr/>
      </w:r>
    </w:p>
    <w:p>
      <w:pPr>
        <w:pStyle w:val="Normal"/>
        <w:rPr/>
      </w:pPr>
      <w:r>
        <w:rPr/>
      </w:r>
    </w:p>
    <w:p>
      <w:pPr>
        <w:pStyle w:val="Normal"/>
        <w:rPr/>
      </w:pPr>
      <w:r>
        <w:rPr/>
      </w:r>
    </w:p>
    <w:p>
      <w:pPr>
        <w:pStyle w:val="Normal"/>
        <w:ind w:hanging="0"/>
        <w:rPr/>
      </w:pPr>
      <w:r>
        <w:rPr>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t>М.Ю. Будяков</w:t>
      </w:r>
    </w:p>
    <w:p>
      <w:pPr>
        <w:pStyle w:val="Normal"/>
        <w:ind w:hanging="0"/>
        <w:rPr/>
      </w:pPr>
      <w:r>
        <w:rPr>
          <w:sz w:val="24"/>
          <w:szCs w:val="24"/>
        </w:rPr>
        <w:t>12.04.2024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Исп. Ефременков Е.Ю.</w:t>
      </w:r>
    </w:p>
    <w:p>
      <w:pPr>
        <w:pStyle w:val="Normal"/>
        <w:ind w:hanging="0"/>
        <w:rPr/>
      </w:pPr>
      <w:r>
        <w:rPr>
          <w:sz w:val="21"/>
          <w:szCs w:val="21"/>
        </w:rPr>
        <w:t>34667-065</w:t>
      </w:r>
      <w:r>
        <w:br w:type="page"/>
      </w:r>
    </w:p>
    <w:p>
      <w:pPr>
        <w:pStyle w:val="Normal"/>
        <w:ind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4">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zanruk@admin-smolensk.r</w:t>
              </w:r>
            </w:hyperlink>
            <w:hyperlink r:id="rId18">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19">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3">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4">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pPr>
    <w:rPr/>
  </w:style>
  <w:style w:type="paragraph" w:styleId="Style47">
    <w:name w:val="Footer"/>
    <w:basedOn w:val="Normal"/>
    <w:uiPriority w:val="99"/>
    <w:semiHidden/>
    <w:rsid w:val="009f3d88"/>
    <w:pPr>
      <w:tabs>
        <w:tab w:val="clear" w:pos="8520"/>
        <w:tab w:val="center" w:pos="4677" w:leader="none"/>
        <w:tab w:val="right" w:pos="9355" w:leader="none"/>
      </w:tabs>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4C8C-D59B-44F3-80BC-40736A4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22167</TotalTime>
  <Application>LibreOffice/7.5.2.1$Linux_X86_64 LibreOffice_project/50$Build-1</Application>
  <AppVersion>15.0000</AppVersion>
  <Pages>11</Pages>
  <Words>3978</Words>
  <Characters>32026</Characters>
  <CharactersWithSpaces>35617</CharactersWithSpaces>
  <Paragraphs>637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2024-04-12T12:16:29Z</dcterms:modified>
  <cp:revision>7252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